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3F76" w14:textId="77777777" w:rsidR="000A7934" w:rsidRPr="0014423C" w:rsidRDefault="000A7934" w:rsidP="000A7934">
      <w:pPr>
        <w:rPr>
          <w:b/>
          <w:bCs/>
          <w:sz w:val="32"/>
          <w:szCs w:val="32"/>
          <w:u w:val="single"/>
        </w:rPr>
      </w:pPr>
      <w:r w:rsidRPr="0014423C">
        <w:rPr>
          <w:b/>
          <w:bCs/>
          <w:sz w:val="32"/>
          <w:szCs w:val="32"/>
        </w:rPr>
        <w:t xml:space="preserve">Washington State Integrated Care Assessment for </w:t>
      </w:r>
      <w:r>
        <w:rPr>
          <w:b/>
          <w:bCs/>
          <w:sz w:val="32"/>
          <w:szCs w:val="32"/>
          <w:u w:val="single"/>
        </w:rPr>
        <w:t>Behavioral Health Settings</w:t>
      </w:r>
    </w:p>
    <w:p w14:paraId="3B2035F8" w14:textId="05608BA5" w:rsidR="000A7934" w:rsidRDefault="000A7934" w:rsidP="009D2493">
      <w:pPr>
        <w:rPr>
          <w:i/>
          <w:iCs/>
          <w:sz w:val="20"/>
          <w:szCs w:val="20"/>
        </w:rPr>
      </w:pPr>
      <w:r w:rsidRPr="009A3776">
        <w:rPr>
          <w:i/>
          <w:iCs/>
          <w:sz w:val="20"/>
          <w:szCs w:val="20"/>
        </w:rPr>
        <w:t xml:space="preserve">Based on the </w:t>
      </w:r>
      <w:r w:rsidRPr="009A3776">
        <w:rPr>
          <w:i/>
          <w:iCs/>
          <w:sz w:val="20"/>
          <w:szCs w:val="20"/>
          <w:u w:val="single"/>
        </w:rPr>
        <w:t>Continuum Based Frameworks for Integration in Behavioral Health and Primary Care Clinics - for Behavioral Health Settings</w:t>
      </w:r>
      <w:r w:rsidRPr="009A3776">
        <w:rPr>
          <w:i/>
          <w:iCs/>
          <w:sz w:val="20"/>
          <w:szCs w:val="20"/>
        </w:rPr>
        <w:t xml:space="preserve"> by Dr. Henry Chung, et al, Montefiore Health System, NY. Used and modified with input from primary author (Chung). (</w:t>
      </w:r>
      <w:hyperlink r:id="rId11" w:history="1">
        <w:r w:rsidRPr="005E3BB4">
          <w:rPr>
            <w:rStyle w:val="Hyperlink"/>
            <w:i/>
            <w:iCs/>
            <w:sz w:val="20"/>
            <w:szCs w:val="20"/>
          </w:rPr>
          <w:t>https://www.thenationalcouncil.org/wp-content/uploads/2020/08/GHI-Framework-Issue-Brief_FINALFORPUBLICATION_7.24.20.pdf?daf=375ateTbd56</w:t>
        </w:r>
      </w:hyperlink>
      <w:r w:rsidRPr="009A3776">
        <w:rPr>
          <w:i/>
          <w:iCs/>
          <w:sz w:val="20"/>
          <w:szCs w:val="20"/>
        </w:rPr>
        <w:t>)</w:t>
      </w:r>
    </w:p>
    <w:p w14:paraId="3CFBB7C4" w14:textId="77777777" w:rsidR="00761515" w:rsidRPr="00761515" w:rsidRDefault="00761515" w:rsidP="009D2493">
      <w:pPr>
        <w:rPr>
          <w:i/>
          <w:iCs/>
          <w:sz w:val="20"/>
          <w:szCs w:val="20"/>
        </w:rPr>
      </w:pPr>
    </w:p>
    <w:p w14:paraId="616EE1E2" w14:textId="06F68A31" w:rsidR="009D2493" w:rsidRDefault="009D2493" w:rsidP="009D2493">
      <w:pPr>
        <w:rPr>
          <w:i/>
          <w:iCs/>
        </w:rPr>
      </w:pPr>
      <w:r w:rsidRPr="00AD1EF0">
        <w:rPr>
          <w:b/>
          <w:bCs/>
        </w:rPr>
        <w:t xml:space="preserve">Supplemental </w:t>
      </w:r>
      <w:r w:rsidRPr="00550501">
        <w:rPr>
          <w:b/>
          <w:bCs/>
        </w:rPr>
        <w:t xml:space="preserve">Questions </w:t>
      </w:r>
    </w:p>
    <w:p w14:paraId="75DC8D5D" w14:textId="77777777" w:rsidR="009D2493" w:rsidRPr="00364E3F" w:rsidRDefault="009D2493" w:rsidP="009D2493">
      <w:pPr>
        <w:rPr>
          <w:i/>
          <w:iCs/>
        </w:rPr>
      </w:pPr>
      <w:r>
        <w:rPr>
          <w:i/>
          <w:iCs/>
        </w:rPr>
        <w:t xml:space="preserve">The following questions are supplemental to the WA-ICA assessment and will help with data disaggregation and analysis, as well as to give context to the level of integration at your clinical site and across the state so that HCA, MCOs, and ACHs can better support your integration journey. </w:t>
      </w:r>
    </w:p>
    <w:p w14:paraId="29282910" w14:textId="77777777" w:rsidR="009D2493" w:rsidRDefault="009D2493" w:rsidP="009D2493">
      <w:pPr>
        <w:spacing w:after="0" w:line="240" w:lineRule="auto"/>
      </w:pPr>
      <w:r>
        <w:t>1. Does your clinical site serve adults, pediatrics, or both?</w:t>
      </w:r>
    </w:p>
    <w:p w14:paraId="04BC2375" w14:textId="77777777" w:rsidR="009D2493" w:rsidRDefault="009D2493" w:rsidP="009D2493">
      <w:pPr>
        <w:pStyle w:val="ListParagraph"/>
        <w:numPr>
          <w:ilvl w:val="0"/>
          <w:numId w:val="5"/>
        </w:numPr>
        <w:spacing w:after="0" w:line="240" w:lineRule="auto"/>
      </w:pPr>
      <w:r>
        <w:t>Adults</w:t>
      </w:r>
    </w:p>
    <w:p w14:paraId="40A8EE69" w14:textId="77777777" w:rsidR="009D2493" w:rsidRDefault="009D2493" w:rsidP="009D2493">
      <w:pPr>
        <w:pStyle w:val="ListParagraph"/>
        <w:numPr>
          <w:ilvl w:val="0"/>
          <w:numId w:val="5"/>
        </w:numPr>
        <w:spacing w:after="0" w:line="240" w:lineRule="auto"/>
      </w:pPr>
      <w:r>
        <w:t>Pediatrics</w:t>
      </w:r>
    </w:p>
    <w:p w14:paraId="2BCF00BF" w14:textId="77777777" w:rsidR="009D2493" w:rsidRDefault="009D2493" w:rsidP="009D2493">
      <w:pPr>
        <w:pStyle w:val="ListParagraph"/>
        <w:numPr>
          <w:ilvl w:val="0"/>
          <w:numId w:val="5"/>
        </w:numPr>
        <w:spacing w:after="0" w:line="240" w:lineRule="auto"/>
      </w:pPr>
      <w:r>
        <w:t>Both</w:t>
      </w:r>
    </w:p>
    <w:p w14:paraId="3F5C679E" w14:textId="77777777" w:rsidR="009D2493" w:rsidRDefault="009D2493" w:rsidP="009D2493">
      <w:pPr>
        <w:pStyle w:val="ListParagraph"/>
        <w:spacing w:after="0" w:line="240" w:lineRule="auto"/>
        <w:ind w:left="2520"/>
      </w:pPr>
    </w:p>
    <w:p w14:paraId="56FFF622" w14:textId="77777777" w:rsidR="009D2493" w:rsidRDefault="009D2493" w:rsidP="009D2493">
      <w:pPr>
        <w:spacing w:after="0" w:line="240" w:lineRule="auto"/>
      </w:pPr>
      <w:r>
        <w:t>2. Please select any/all categories that apply to your clinical site:</w:t>
      </w:r>
    </w:p>
    <w:p w14:paraId="3492591C" w14:textId="77777777" w:rsidR="009D2493" w:rsidRDefault="009D2493" w:rsidP="009D2493">
      <w:pPr>
        <w:pStyle w:val="ListParagraph"/>
        <w:numPr>
          <w:ilvl w:val="1"/>
          <w:numId w:val="3"/>
        </w:numPr>
        <w:spacing w:after="0" w:line="240" w:lineRule="auto"/>
      </w:pPr>
      <w:r>
        <w:t>Primary care</w:t>
      </w:r>
    </w:p>
    <w:p w14:paraId="6D714A15" w14:textId="77777777" w:rsidR="009D2493" w:rsidRDefault="008F78E7" w:rsidP="009D2493">
      <w:pPr>
        <w:pStyle w:val="ListParagraph"/>
        <w:numPr>
          <w:ilvl w:val="1"/>
          <w:numId w:val="3"/>
        </w:numPr>
        <w:spacing w:after="0" w:line="240" w:lineRule="auto"/>
      </w:pPr>
      <w:hyperlink r:id="rId12" w:history="1">
        <w:r w:rsidR="009D2493" w:rsidRPr="009363EF">
          <w:rPr>
            <w:rStyle w:val="Hyperlink"/>
          </w:rPr>
          <w:t>Critical Access Hospital</w:t>
        </w:r>
      </w:hyperlink>
      <w:r w:rsidR="009D2493">
        <w:t xml:space="preserve"> (CAH)</w:t>
      </w:r>
    </w:p>
    <w:p w14:paraId="2E33E956" w14:textId="77777777" w:rsidR="009D2493" w:rsidRDefault="008F78E7" w:rsidP="009D2493">
      <w:pPr>
        <w:pStyle w:val="ListParagraph"/>
        <w:numPr>
          <w:ilvl w:val="1"/>
          <w:numId w:val="3"/>
        </w:numPr>
        <w:spacing w:after="0" w:line="240" w:lineRule="auto"/>
      </w:pPr>
      <w:hyperlink r:id="rId13" w:history="1">
        <w:r w:rsidR="009D2493" w:rsidRPr="0029440F">
          <w:rPr>
            <w:rStyle w:val="Hyperlink"/>
          </w:rPr>
          <w:t>Rural Health Clinic</w:t>
        </w:r>
      </w:hyperlink>
      <w:r w:rsidR="009D2493">
        <w:t xml:space="preserve"> (RHC)</w:t>
      </w:r>
    </w:p>
    <w:p w14:paraId="188B5CB0" w14:textId="77777777" w:rsidR="009D2493" w:rsidRDefault="009D2493" w:rsidP="009D2493">
      <w:pPr>
        <w:pStyle w:val="ListParagraph"/>
        <w:numPr>
          <w:ilvl w:val="1"/>
          <w:numId w:val="3"/>
        </w:numPr>
        <w:spacing w:after="0" w:line="240" w:lineRule="auto"/>
      </w:pPr>
      <w:r>
        <w:t>Co-located Behavioral Health and Primary Care</w:t>
      </w:r>
    </w:p>
    <w:p w14:paraId="356F9A9D" w14:textId="77777777" w:rsidR="009D2493" w:rsidRDefault="009D2493" w:rsidP="009D2493">
      <w:pPr>
        <w:pStyle w:val="ListParagraph"/>
        <w:numPr>
          <w:ilvl w:val="1"/>
          <w:numId w:val="3"/>
        </w:numPr>
        <w:spacing w:after="0" w:line="240" w:lineRule="auto"/>
      </w:pPr>
      <w:r>
        <w:t>Behavioral Health (mental health only)</w:t>
      </w:r>
    </w:p>
    <w:p w14:paraId="158B483D" w14:textId="77777777" w:rsidR="009D2493" w:rsidRDefault="009D2493" w:rsidP="009D2493">
      <w:pPr>
        <w:pStyle w:val="ListParagraph"/>
        <w:numPr>
          <w:ilvl w:val="1"/>
          <w:numId w:val="3"/>
        </w:numPr>
        <w:spacing w:after="0" w:line="240" w:lineRule="auto"/>
      </w:pPr>
      <w:r>
        <w:t>Behavioral Health (substance use disorder (SUD) only)</w:t>
      </w:r>
    </w:p>
    <w:p w14:paraId="1B5EFF6A" w14:textId="77777777" w:rsidR="009D2493" w:rsidRDefault="009D2493" w:rsidP="009D2493">
      <w:pPr>
        <w:pStyle w:val="ListParagraph"/>
        <w:numPr>
          <w:ilvl w:val="1"/>
          <w:numId w:val="3"/>
        </w:numPr>
        <w:spacing w:after="0" w:line="240" w:lineRule="auto"/>
      </w:pPr>
      <w:r>
        <w:t>Behavioral Health (mental health AND SUD)</w:t>
      </w:r>
    </w:p>
    <w:p w14:paraId="26794247" w14:textId="77777777" w:rsidR="009D2493" w:rsidRDefault="009D2493" w:rsidP="009D2493">
      <w:pPr>
        <w:pStyle w:val="ListParagraph"/>
        <w:numPr>
          <w:ilvl w:val="1"/>
          <w:numId w:val="3"/>
        </w:numPr>
        <w:spacing w:after="0" w:line="240" w:lineRule="auto"/>
      </w:pPr>
      <w:r>
        <w:t>Opioid Treatment Program (OTP)</w:t>
      </w:r>
    </w:p>
    <w:p w14:paraId="14F05D2F" w14:textId="77777777" w:rsidR="009D2493" w:rsidRDefault="009D2493" w:rsidP="009D2493">
      <w:pPr>
        <w:pStyle w:val="ListParagraph"/>
        <w:numPr>
          <w:ilvl w:val="1"/>
          <w:numId w:val="3"/>
        </w:numPr>
        <w:spacing w:after="0" w:line="240" w:lineRule="auto"/>
      </w:pPr>
      <w:r>
        <w:t>Other (fill in the blank)</w:t>
      </w:r>
    </w:p>
    <w:p w14:paraId="6433A12C" w14:textId="77777777" w:rsidR="009D2493" w:rsidRDefault="009D2493" w:rsidP="009D2493">
      <w:pPr>
        <w:pStyle w:val="ListParagraph"/>
        <w:spacing w:after="0" w:line="240" w:lineRule="auto"/>
      </w:pPr>
    </w:p>
    <w:p w14:paraId="2BBB11AB" w14:textId="77777777" w:rsidR="009D2493" w:rsidRDefault="009D2493" w:rsidP="009D2493">
      <w:pPr>
        <w:spacing w:after="0" w:line="240" w:lineRule="auto"/>
      </w:pPr>
      <w:r>
        <w:t>3. Approximately how many patients are seen at your clinical site each month? (fill in the blank)</w:t>
      </w:r>
    </w:p>
    <w:p w14:paraId="42A18A30" w14:textId="77777777" w:rsidR="009D2493" w:rsidRDefault="009D2493" w:rsidP="009D2493">
      <w:pPr>
        <w:spacing w:after="0" w:line="240" w:lineRule="auto"/>
      </w:pPr>
    </w:p>
    <w:p w14:paraId="4A3F2EB3" w14:textId="77777777" w:rsidR="009D2493" w:rsidRDefault="009D2493" w:rsidP="009D2493">
      <w:pPr>
        <w:spacing w:after="0" w:line="240" w:lineRule="auto"/>
      </w:pPr>
      <w:r>
        <w:t>4. What is the approximate payor mix of patients seen at your clinical site in an average month?</w:t>
      </w:r>
    </w:p>
    <w:p w14:paraId="74EF6C01" w14:textId="77777777" w:rsidR="009D2493" w:rsidRDefault="009D2493" w:rsidP="009D2493">
      <w:pPr>
        <w:pStyle w:val="ListParagraph"/>
        <w:numPr>
          <w:ilvl w:val="1"/>
          <w:numId w:val="3"/>
        </w:numPr>
        <w:spacing w:after="0" w:line="240" w:lineRule="auto"/>
      </w:pPr>
      <w:r>
        <w:t>%___ Medicaid</w:t>
      </w:r>
    </w:p>
    <w:p w14:paraId="200F608B" w14:textId="77777777" w:rsidR="009D2493" w:rsidRDefault="009D2493" w:rsidP="009D2493">
      <w:pPr>
        <w:pStyle w:val="ListParagraph"/>
        <w:numPr>
          <w:ilvl w:val="1"/>
          <w:numId w:val="3"/>
        </w:numPr>
        <w:spacing w:after="0" w:line="240" w:lineRule="auto"/>
      </w:pPr>
      <w:r>
        <w:t>%___ Medicare</w:t>
      </w:r>
    </w:p>
    <w:p w14:paraId="08F789D8" w14:textId="77777777" w:rsidR="009D2493" w:rsidRDefault="009D2493" w:rsidP="009D2493">
      <w:pPr>
        <w:pStyle w:val="ListParagraph"/>
        <w:numPr>
          <w:ilvl w:val="1"/>
          <w:numId w:val="3"/>
        </w:numPr>
        <w:spacing w:after="0" w:line="240" w:lineRule="auto"/>
      </w:pPr>
      <w:r>
        <w:t>%___ Commercial Insurance</w:t>
      </w:r>
    </w:p>
    <w:p w14:paraId="1B6FD2AD" w14:textId="77777777" w:rsidR="009D2493" w:rsidRDefault="009D2493" w:rsidP="009D2493">
      <w:pPr>
        <w:pStyle w:val="ListParagraph"/>
        <w:numPr>
          <w:ilvl w:val="1"/>
          <w:numId w:val="3"/>
        </w:numPr>
        <w:spacing w:after="0" w:line="240" w:lineRule="auto"/>
      </w:pPr>
      <w:r>
        <w:t>%___ Uninsured</w:t>
      </w:r>
    </w:p>
    <w:p w14:paraId="2BF1FAF6" w14:textId="77777777" w:rsidR="009D2493" w:rsidRDefault="009D2493" w:rsidP="009D2493">
      <w:pPr>
        <w:pStyle w:val="ListParagraph"/>
        <w:numPr>
          <w:ilvl w:val="1"/>
          <w:numId w:val="3"/>
        </w:numPr>
        <w:spacing w:after="0" w:line="240" w:lineRule="auto"/>
      </w:pPr>
      <w:r>
        <w:t>% ___Fee for Service</w:t>
      </w:r>
    </w:p>
    <w:p w14:paraId="7D35671C" w14:textId="77777777" w:rsidR="009D2493" w:rsidRDefault="009D2493" w:rsidP="009D2493">
      <w:pPr>
        <w:pStyle w:val="ListParagraph"/>
        <w:numPr>
          <w:ilvl w:val="1"/>
          <w:numId w:val="3"/>
        </w:numPr>
        <w:spacing w:after="0" w:line="240" w:lineRule="auto"/>
      </w:pPr>
      <w:r>
        <w:t>%___ Other</w:t>
      </w:r>
    </w:p>
    <w:p w14:paraId="04C1A2C6" w14:textId="77777777" w:rsidR="009D2493" w:rsidRDefault="009D2493" w:rsidP="009D2493"/>
    <w:p w14:paraId="138E3450" w14:textId="77777777" w:rsidR="009D2493" w:rsidRDefault="009D2493" w:rsidP="009D2493">
      <w:r>
        <w:t xml:space="preserve">5. </w:t>
      </w:r>
      <w:r w:rsidRPr="00AC769A">
        <w:t xml:space="preserve">How will advancing integration help you address </w:t>
      </w:r>
      <w:hyperlink r:id="rId14" w:anchor=":~:text=To%20the%20Health%20Care%20Authority,be%20as%20healthy%20as%20possible." w:history="1">
        <w:r w:rsidRPr="00EF5A6A">
          <w:rPr>
            <w:rStyle w:val="Hyperlink"/>
          </w:rPr>
          <w:t>health equity</w:t>
        </w:r>
      </w:hyperlink>
      <w:r w:rsidRPr="00AC769A">
        <w:t xml:space="preserve">? </w:t>
      </w:r>
      <w:r w:rsidRPr="008012D0">
        <w:rPr>
          <w:i/>
          <w:iCs/>
        </w:rPr>
        <w:t>(short narrative)</w:t>
      </w:r>
    </w:p>
    <w:p w14:paraId="5179A53F" w14:textId="77777777" w:rsidR="009D2493" w:rsidRPr="00A046E0" w:rsidRDefault="009D2493" w:rsidP="009D2493">
      <w:pPr>
        <w:pStyle w:val="ListParagraph"/>
        <w:rPr>
          <w:i/>
          <w:iCs/>
        </w:rPr>
      </w:pPr>
      <w:r w:rsidRPr="00DF04FE">
        <w:rPr>
          <w:i/>
          <w:iCs/>
        </w:rPr>
        <w:lastRenderedPageBreak/>
        <w:t xml:space="preserve">Health equity means that everyone has a fair and just opportunity to be as healthy as possible and clinical sites have a responsibility to create a welcoming and accountable environment meant for people of color, all gender identities and sexual orientations, and people with disabilities. </w:t>
      </w:r>
    </w:p>
    <w:p w14:paraId="42C546F7" w14:textId="77777777" w:rsidR="009D2493" w:rsidRPr="00FA62C6" w:rsidRDefault="009D2493" w:rsidP="009D2493">
      <w:pPr>
        <w:spacing w:after="0"/>
      </w:pPr>
      <w:r>
        <w:t xml:space="preserve">6. </w:t>
      </w:r>
      <w:r w:rsidRPr="00FA62C6">
        <w:t xml:space="preserve">Does your clinical site currently use any of the following </w:t>
      </w:r>
      <w:r>
        <w:t>Social Determinants of Health (</w:t>
      </w:r>
      <w:r w:rsidRPr="00FA62C6">
        <w:t>SDOH</w:t>
      </w:r>
      <w:r>
        <w:t>)</w:t>
      </w:r>
      <w:r w:rsidRPr="00FA62C6">
        <w:t xml:space="preserve"> screening tools? (select all that apply):</w:t>
      </w:r>
    </w:p>
    <w:p w14:paraId="25404CD8" w14:textId="77777777" w:rsidR="009D2493" w:rsidRPr="00FA62C6" w:rsidRDefault="008F78E7" w:rsidP="009D2493">
      <w:pPr>
        <w:pStyle w:val="ListParagraph"/>
        <w:numPr>
          <w:ilvl w:val="1"/>
          <w:numId w:val="4"/>
        </w:numPr>
        <w:spacing w:after="0"/>
      </w:pPr>
      <w:hyperlink r:id="rId15" w:history="1">
        <w:r w:rsidR="009D2493" w:rsidRPr="00F23D97">
          <w:rPr>
            <w:rStyle w:val="Hyperlink"/>
          </w:rPr>
          <w:t>Accountable Health Communities</w:t>
        </w:r>
      </w:hyperlink>
      <w:r w:rsidR="009D2493" w:rsidRPr="00FA62C6">
        <w:t xml:space="preserve"> (AHC) tool (also known as the Health-Related Social Needs (HRSN) tool)</w:t>
      </w:r>
    </w:p>
    <w:p w14:paraId="2ED0CF84" w14:textId="42D8E050" w:rsidR="009D2493" w:rsidRPr="00FA62C6" w:rsidRDefault="008F78E7" w:rsidP="009D2493">
      <w:pPr>
        <w:pStyle w:val="ListParagraph"/>
        <w:numPr>
          <w:ilvl w:val="1"/>
          <w:numId w:val="4"/>
        </w:numPr>
        <w:spacing w:after="0"/>
      </w:pPr>
      <w:hyperlink r:id="rId16" w:history="1">
        <w:r w:rsidR="009D2493" w:rsidRPr="00717541">
          <w:rPr>
            <w:rStyle w:val="Hyperlink"/>
          </w:rPr>
          <w:t>Daily Living Activities—20</w:t>
        </w:r>
      </w:hyperlink>
      <w:r w:rsidR="009D2493" w:rsidRPr="00FA62C6">
        <w:t xml:space="preserve"> (DLA-20)</w:t>
      </w:r>
    </w:p>
    <w:p w14:paraId="1BB5B4A7" w14:textId="77777777" w:rsidR="009D2493" w:rsidRPr="00FA62C6" w:rsidRDefault="008F78E7" w:rsidP="009D2493">
      <w:pPr>
        <w:pStyle w:val="ListParagraph"/>
        <w:numPr>
          <w:ilvl w:val="1"/>
          <w:numId w:val="4"/>
        </w:numPr>
        <w:spacing w:after="0"/>
      </w:pPr>
      <w:hyperlink r:id="rId17" w:history="1">
        <w:r w:rsidR="009D2493" w:rsidRPr="001E6BC0">
          <w:rPr>
            <w:rStyle w:val="Hyperlink"/>
          </w:rPr>
          <w:t>Health Leads Social Needs Screening</w:t>
        </w:r>
      </w:hyperlink>
      <w:r w:rsidR="009D2493" w:rsidRPr="00FA62C6">
        <w:t xml:space="preserve"> </w:t>
      </w:r>
    </w:p>
    <w:p w14:paraId="24E018E7" w14:textId="77777777" w:rsidR="009D2493" w:rsidRPr="00FA62C6" w:rsidRDefault="008F78E7" w:rsidP="009D2493">
      <w:pPr>
        <w:pStyle w:val="ListParagraph"/>
        <w:numPr>
          <w:ilvl w:val="1"/>
          <w:numId w:val="4"/>
        </w:numPr>
        <w:spacing w:after="0"/>
      </w:pPr>
      <w:hyperlink r:id="rId18" w:history="1">
        <w:r w:rsidR="009D2493" w:rsidRPr="00895CD6">
          <w:rPr>
            <w:rStyle w:val="Hyperlink"/>
          </w:rPr>
          <w:t>PRAPARE</w:t>
        </w:r>
      </w:hyperlink>
      <w:r w:rsidR="009D2493" w:rsidRPr="00FA62C6">
        <w:t xml:space="preserve"> </w:t>
      </w:r>
    </w:p>
    <w:p w14:paraId="44280C2B" w14:textId="77777777" w:rsidR="009D2493" w:rsidRPr="00FA62C6" w:rsidRDefault="008F78E7" w:rsidP="009D2493">
      <w:pPr>
        <w:pStyle w:val="ListParagraph"/>
        <w:numPr>
          <w:ilvl w:val="1"/>
          <w:numId w:val="4"/>
        </w:numPr>
        <w:spacing w:after="0"/>
      </w:pPr>
      <w:hyperlink r:id="rId19" w:history="1">
        <w:proofErr w:type="spellStart"/>
        <w:r w:rsidR="009D2493" w:rsidRPr="00CA5305">
          <w:rPr>
            <w:rStyle w:val="Hyperlink"/>
          </w:rPr>
          <w:t>WellRx</w:t>
        </w:r>
        <w:proofErr w:type="spellEnd"/>
      </w:hyperlink>
      <w:r w:rsidR="009D2493" w:rsidRPr="00FA62C6">
        <w:t xml:space="preserve"> </w:t>
      </w:r>
    </w:p>
    <w:p w14:paraId="4F679494" w14:textId="77777777" w:rsidR="009D2493" w:rsidRPr="00FA62C6" w:rsidRDefault="009D2493" w:rsidP="009D2493">
      <w:pPr>
        <w:pStyle w:val="ListParagraph"/>
        <w:numPr>
          <w:ilvl w:val="1"/>
          <w:numId w:val="4"/>
        </w:numPr>
        <w:spacing w:after="0"/>
      </w:pPr>
      <w:r w:rsidRPr="00FA62C6">
        <w:t>Other (write in answer, if selected)</w:t>
      </w:r>
    </w:p>
    <w:p w14:paraId="53BBCC21" w14:textId="77777777" w:rsidR="009D2493" w:rsidRDefault="009D2493" w:rsidP="009D2493">
      <w:pPr>
        <w:pStyle w:val="ListParagraph"/>
        <w:numPr>
          <w:ilvl w:val="1"/>
          <w:numId w:val="4"/>
        </w:numPr>
        <w:spacing w:after="0"/>
      </w:pPr>
      <w:r w:rsidRPr="00FA62C6">
        <w:t xml:space="preserve">None of the above – our site does not currently use a screening tool </w:t>
      </w:r>
    </w:p>
    <w:p w14:paraId="6692EA13" w14:textId="77777777" w:rsidR="009D2493" w:rsidRPr="005538FF" w:rsidRDefault="009D2493" w:rsidP="009D2493">
      <w:pPr>
        <w:rPr>
          <w:b/>
          <w:bCs/>
        </w:rPr>
      </w:pPr>
    </w:p>
    <w:p w14:paraId="2D2ABDCF" w14:textId="77777777" w:rsidR="009D2493" w:rsidRDefault="009D2493" w:rsidP="009D2493">
      <w:r>
        <w:t>7.  What funding sources support your integrated care efforts? (select all that apply)</w:t>
      </w:r>
    </w:p>
    <w:p w14:paraId="5BC07F0C" w14:textId="77777777" w:rsidR="009D2493" w:rsidRDefault="009D2493" w:rsidP="009D2493">
      <w:pPr>
        <w:pStyle w:val="ListParagraph"/>
        <w:numPr>
          <w:ilvl w:val="0"/>
          <w:numId w:val="7"/>
        </w:numPr>
      </w:pPr>
      <w:r>
        <w:t>Capitated PMPM rate</w:t>
      </w:r>
    </w:p>
    <w:p w14:paraId="02D6C8D4" w14:textId="6F6B99DB" w:rsidR="009D2493" w:rsidRDefault="008F78E7" w:rsidP="009D2493">
      <w:pPr>
        <w:pStyle w:val="ListParagraph"/>
        <w:numPr>
          <w:ilvl w:val="0"/>
          <w:numId w:val="7"/>
        </w:numPr>
      </w:pPr>
      <w:hyperlink r:id="rId20" w:history="1">
        <w:r w:rsidR="009D2493" w:rsidRPr="00EA1D31">
          <w:rPr>
            <w:rStyle w:val="Hyperlink"/>
          </w:rPr>
          <w:t>Collaborative Care codes</w:t>
        </w:r>
      </w:hyperlink>
    </w:p>
    <w:p w14:paraId="04E31BDA" w14:textId="77777777" w:rsidR="009D2493" w:rsidRDefault="009D2493" w:rsidP="009D2493">
      <w:pPr>
        <w:pStyle w:val="ListParagraph"/>
        <w:numPr>
          <w:ilvl w:val="0"/>
          <w:numId w:val="7"/>
        </w:numPr>
      </w:pPr>
      <w:r>
        <w:t xml:space="preserve">Fee for service billing </w:t>
      </w:r>
    </w:p>
    <w:p w14:paraId="17B01B78" w14:textId="77777777" w:rsidR="009D2493" w:rsidRDefault="009D2493" w:rsidP="009D2493">
      <w:pPr>
        <w:pStyle w:val="ListParagraph"/>
        <w:numPr>
          <w:ilvl w:val="0"/>
          <w:numId w:val="7"/>
        </w:numPr>
      </w:pPr>
      <w:r>
        <w:t>Grants</w:t>
      </w:r>
    </w:p>
    <w:p w14:paraId="5A1A8793" w14:textId="77777777" w:rsidR="009D2493" w:rsidRDefault="009D2493" w:rsidP="009D2493">
      <w:pPr>
        <w:pStyle w:val="ListParagraph"/>
        <w:numPr>
          <w:ilvl w:val="0"/>
          <w:numId w:val="7"/>
        </w:numPr>
      </w:pPr>
      <w:r>
        <w:t>Value based payment arrangements</w:t>
      </w:r>
    </w:p>
    <w:p w14:paraId="46CFFDD0" w14:textId="77777777" w:rsidR="009D2493" w:rsidRDefault="009D2493" w:rsidP="009D2493">
      <w:pPr>
        <w:pStyle w:val="ListParagraph"/>
        <w:numPr>
          <w:ilvl w:val="0"/>
          <w:numId w:val="7"/>
        </w:numPr>
      </w:pPr>
      <w:r>
        <w:t>None</w:t>
      </w:r>
    </w:p>
    <w:p w14:paraId="3448E9D5" w14:textId="77777777" w:rsidR="009D2493" w:rsidRPr="00770885" w:rsidRDefault="009D2493" w:rsidP="009D2493">
      <w:pPr>
        <w:pStyle w:val="ListParagraph"/>
        <w:numPr>
          <w:ilvl w:val="0"/>
          <w:numId w:val="7"/>
        </w:numPr>
      </w:pPr>
      <w:r>
        <w:t>Other (please specify)</w:t>
      </w:r>
    </w:p>
    <w:p w14:paraId="6C3F5EFA" w14:textId="77777777" w:rsidR="009D2493" w:rsidRDefault="009D2493" w:rsidP="009D2493">
      <w:pPr>
        <w:pStyle w:val="ListParagraph"/>
      </w:pPr>
    </w:p>
    <w:p w14:paraId="562B8B6A" w14:textId="77777777" w:rsidR="009D2493" w:rsidRPr="007027A4" w:rsidRDefault="009D2493" w:rsidP="009D2493">
      <w:pPr>
        <w:rPr>
          <w:i/>
          <w:iCs/>
        </w:rPr>
      </w:pPr>
      <w:r>
        <w:t xml:space="preserve">8. What is working well in regard to staff/provider licensing and reimbursement structures for your integrated care efforts? Where is there room for improvement? </w:t>
      </w:r>
      <w:r w:rsidRPr="007027A4">
        <w:rPr>
          <w:i/>
          <w:iCs/>
        </w:rPr>
        <w:t>(short narrative)</w:t>
      </w:r>
    </w:p>
    <w:p w14:paraId="5F903F3E" w14:textId="77777777" w:rsidR="009D2493" w:rsidRPr="00CC1496" w:rsidRDefault="009D2493" w:rsidP="009D2493">
      <w:pPr>
        <w:rPr>
          <w:b/>
          <w:bCs/>
        </w:rPr>
      </w:pPr>
    </w:p>
    <w:p w14:paraId="3BD71048" w14:textId="77777777" w:rsidR="009D2493" w:rsidRPr="005D2496" w:rsidRDefault="009D2493" w:rsidP="009D2493">
      <w:pPr>
        <w:spacing w:after="0"/>
      </w:pPr>
      <w:r>
        <w:t xml:space="preserve">9. Which of the following IT and/or population health tools are in use at your clinical site? (select all that apply): </w:t>
      </w:r>
    </w:p>
    <w:p w14:paraId="44985D11" w14:textId="77777777" w:rsidR="009D2493" w:rsidRPr="00CC1496" w:rsidRDefault="009D2493" w:rsidP="009D2493">
      <w:pPr>
        <w:pStyle w:val="ListParagraph"/>
        <w:numPr>
          <w:ilvl w:val="1"/>
          <w:numId w:val="6"/>
        </w:numPr>
        <w:spacing w:after="0"/>
      </w:pPr>
      <w:r w:rsidRPr="00CC1496">
        <w:t>Electronic Health Records</w:t>
      </w:r>
    </w:p>
    <w:p w14:paraId="243736E2" w14:textId="77777777" w:rsidR="009D2493" w:rsidRPr="005D2496" w:rsidRDefault="008F78E7" w:rsidP="009D2493">
      <w:pPr>
        <w:pStyle w:val="ListParagraph"/>
        <w:numPr>
          <w:ilvl w:val="1"/>
          <w:numId w:val="6"/>
        </w:numPr>
        <w:spacing w:after="0"/>
      </w:pPr>
      <w:hyperlink r:id="rId21" w:anchor=":~:text=A%20shared%20care%20plan%20is,including%20the%20patient%20and%20providers." w:history="1">
        <w:r w:rsidR="009D2493" w:rsidRPr="00E16721">
          <w:rPr>
            <w:rStyle w:val="Hyperlink"/>
          </w:rPr>
          <w:t>Shared care plans</w:t>
        </w:r>
      </w:hyperlink>
    </w:p>
    <w:p w14:paraId="7541508B" w14:textId="77777777" w:rsidR="009D2493" w:rsidRPr="005D2496" w:rsidRDefault="008F78E7" w:rsidP="009D2493">
      <w:pPr>
        <w:pStyle w:val="ListParagraph"/>
        <w:numPr>
          <w:ilvl w:val="1"/>
          <w:numId w:val="6"/>
        </w:numPr>
        <w:spacing w:after="0"/>
      </w:pPr>
      <w:hyperlink r:id="rId22" w:history="1">
        <w:r w:rsidR="009D2493" w:rsidRPr="00D525C8">
          <w:rPr>
            <w:rStyle w:val="Hyperlink"/>
          </w:rPr>
          <w:t>Electronic referrals to outside services</w:t>
        </w:r>
      </w:hyperlink>
    </w:p>
    <w:p w14:paraId="65BBD988" w14:textId="77777777" w:rsidR="009D2493" w:rsidRDefault="008F78E7" w:rsidP="009D2493">
      <w:pPr>
        <w:pStyle w:val="ListParagraph"/>
        <w:numPr>
          <w:ilvl w:val="1"/>
          <w:numId w:val="6"/>
        </w:numPr>
        <w:spacing w:after="0"/>
      </w:pPr>
      <w:hyperlink r:id="rId23" w:history="1">
        <w:r w:rsidR="009D2493" w:rsidRPr="003278B4">
          <w:rPr>
            <w:rStyle w:val="Hyperlink"/>
          </w:rPr>
          <w:t>Closed loop referral systems</w:t>
        </w:r>
      </w:hyperlink>
      <w:r w:rsidR="009D2493">
        <w:t xml:space="preserve"> with outside services</w:t>
      </w:r>
    </w:p>
    <w:p w14:paraId="72952C1E" w14:textId="77777777" w:rsidR="009D2493" w:rsidRPr="005D2496" w:rsidRDefault="008F78E7" w:rsidP="009D2493">
      <w:pPr>
        <w:pStyle w:val="ListParagraph"/>
        <w:numPr>
          <w:ilvl w:val="1"/>
          <w:numId w:val="6"/>
        </w:numPr>
        <w:spacing w:after="0"/>
      </w:pPr>
      <w:hyperlink r:id="rId24" w:history="1">
        <w:r w:rsidR="009D2493" w:rsidRPr="005613D2">
          <w:rPr>
            <w:rStyle w:val="Hyperlink"/>
          </w:rPr>
          <w:t>Registries</w:t>
        </w:r>
      </w:hyperlink>
    </w:p>
    <w:p w14:paraId="5FCA6273" w14:textId="77777777" w:rsidR="009D2493" w:rsidRDefault="008F78E7" w:rsidP="009D2493">
      <w:pPr>
        <w:pStyle w:val="ListParagraph"/>
        <w:numPr>
          <w:ilvl w:val="1"/>
          <w:numId w:val="6"/>
        </w:numPr>
        <w:spacing w:after="0"/>
      </w:pPr>
      <w:hyperlink r:id="rId25" w:history="1">
        <w:r w:rsidR="009D2493" w:rsidRPr="00320DDC">
          <w:rPr>
            <w:rStyle w:val="Hyperlink"/>
          </w:rPr>
          <w:t>Health information exchanges</w:t>
        </w:r>
      </w:hyperlink>
      <w:r w:rsidR="009D2493">
        <w:t xml:space="preserve"> (HIE)</w:t>
      </w:r>
    </w:p>
    <w:p w14:paraId="722FB0D0" w14:textId="77777777" w:rsidR="009D2493" w:rsidRDefault="008F78E7" w:rsidP="009D2493">
      <w:pPr>
        <w:pStyle w:val="ListParagraph"/>
        <w:numPr>
          <w:ilvl w:val="1"/>
          <w:numId w:val="6"/>
        </w:numPr>
        <w:spacing w:after="0"/>
      </w:pPr>
      <w:hyperlink r:id="rId26" w:history="1">
        <w:r w:rsidR="009D2493" w:rsidRPr="00365D03">
          <w:rPr>
            <w:rStyle w:val="Hyperlink"/>
          </w:rPr>
          <w:t>Community information exchanges</w:t>
        </w:r>
      </w:hyperlink>
      <w:r w:rsidR="009D2493">
        <w:t xml:space="preserve"> (CIE)</w:t>
      </w:r>
    </w:p>
    <w:p w14:paraId="2A9F1001" w14:textId="77777777" w:rsidR="009D2493" w:rsidRPr="00DC1F6F" w:rsidRDefault="009D2493" w:rsidP="009D2493">
      <w:pPr>
        <w:rPr>
          <w:i/>
          <w:iCs/>
        </w:rPr>
      </w:pPr>
    </w:p>
    <w:p w14:paraId="3335B455" w14:textId="77777777" w:rsidR="009D2493" w:rsidRPr="00E95FD2" w:rsidRDefault="009D2493" w:rsidP="009D2493">
      <w:r>
        <w:t>10. Approximately what percentage of patient visits at your clinical site are virtual vs. in-person in an average month</w:t>
      </w:r>
      <w:r w:rsidRPr="00FA2EF7">
        <w:t>?*</w:t>
      </w:r>
    </w:p>
    <w:p w14:paraId="2E53DCAC" w14:textId="77777777" w:rsidR="009D2493" w:rsidRDefault="009D2493" w:rsidP="009D2493">
      <w:pPr>
        <w:pStyle w:val="ListParagraph"/>
        <w:numPr>
          <w:ilvl w:val="1"/>
          <w:numId w:val="4"/>
        </w:numPr>
      </w:pPr>
      <w:r>
        <w:lastRenderedPageBreak/>
        <w:t>%___ virtual (video)</w:t>
      </w:r>
    </w:p>
    <w:p w14:paraId="62458A60" w14:textId="77777777" w:rsidR="009D2493" w:rsidRDefault="009D2493" w:rsidP="009D2493">
      <w:pPr>
        <w:pStyle w:val="ListParagraph"/>
        <w:numPr>
          <w:ilvl w:val="1"/>
          <w:numId w:val="4"/>
        </w:numPr>
      </w:pPr>
      <w:r>
        <w:t>%___ virtual (telephone only)</w:t>
      </w:r>
    </w:p>
    <w:p w14:paraId="20DA6130" w14:textId="77777777" w:rsidR="009D2493" w:rsidRDefault="009D2493" w:rsidP="009D2493">
      <w:pPr>
        <w:pStyle w:val="ListParagraph"/>
        <w:numPr>
          <w:ilvl w:val="1"/>
          <w:numId w:val="4"/>
        </w:numPr>
      </w:pPr>
      <w:r>
        <w:t>%___ in-person</w:t>
      </w:r>
    </w:p>
    <w:p w14:paraId="74CF3FE2" w14:textId="77777777" w:rsidR="009D2493" w:rsidRDefault="009D2493" w:rsidP="009D2493">
      <w:pPr>
        <w:pStyle w:val="ListParagraph"/>
        <w:ind w:left="0"/>
      </w:pPr>
    </w:p>
    <w:p w14:paraId="4DD2ABF3" w14:textId="77777777" w:rsidR="009D2493" w:rsidRDefault="009D2493" w:rsidP="009D2493">
      <w:pPr>
        <w:pStyle w:val="ListParagraph"/>
        <w:ind w:left="0"/>
      </w:pPr>
    </w:p>
    <w:p w14:paraId="261B6404" w14:textId="77777777" w:rsidR="009D2493" w:rsidRPr="00E93F84" w:rsidRDefault="009D2493" w:rsidP="009D2493">
      <w:pPr>
        <w:pStyle w:val="ListParagraph"/>
        <w:ind w:left="0"/>
        <w:rPr>
          <w:b/>
          <w:bCs/>
        </w:rPr>
      </w:pPr>
      <w:r>
        <w:rPr>
          <w:b/>
          <w:bCs/>
        </w:rPr>
        <w:t>With your care team, p</w:t>
      </w:r>
      <w:r w:rsidRPr="00E93F84">
        <w:rPr>
          <w:b/>
          <w:bCs/>
        </w:rPr>
        <w:t xml:space="preserve">lease review each domain and sub-domain on the continuum of integration and select the level that best corresponds to </w:t>
      </w:r>
      <w:r>
        <w:rPr>
          <w:b/>
          <w:bCs/>
        </w:rPr>
        <w:t xml:space="preserve">the reality at </w:t>
      </w:r>
      <w:r w:rsidRPr="00E93F84">
        <w:rPr>
          <w:b/>
          <w:bCs/>
        </w:rPr>
        <w:t>your</w:t>
      </w:r>
      <w:r>
        <w:rPr>
          <w:b/>
          <w:bCs/>
        </w:rPr>
        <w:t xml:space="preserve"> clinical</w:t>
      </w:r>
      <w:r w:rsidRPr="00E93F84">
        <w:rPr>
          <w:b/>
          <w:bCs/>
        </w:rPr>
        <w:t xml:space="preserve"> site. </w:t>
      </w:r>
      <w:r>
        <w:rPr>
          <w:b/>
          <w:bCs/>
        </w:rPr>
        <w:t>Implementation support materials for the primary care assessment are available here (will link to website)</w:t>
      </w:r>
    </w:p>
    <w:p w14:paraId="03D8C606" w14:textId="77777777" w:rsidR="009D2493" w:rsidRDefault="009D2493" w:rsidP="009D2493">
      <w:pPr>
        <w:pStyle w:val="ListParagraph"/>
        <w:ind w:left="0"/>
      </w:pPr>
    </w:p>
    <w:p w14:paraId="2E317C1E" w14:textId="77777777" w:rsidR="009D2493" w:rsidRDefault="009D2493" w:rsidP="009D2493">
      <w:pPr>
        <w:pStyle w:val="ListParagraph"/>
        <w:ind w:left="0"/>
      </w:pPr>
      <w:r>
        <w:t>11.</w:t>
      </w:r>
    </w:p>
    <w:tbl>
      <w:tblPr>
        <w:tblStyle w:val="TableGrid"/>
        <w:tblW w:w="14400" w:type="dxa"/>
        <w:tblInd w:w="-185" w:type="dxa"/>
        <w:tblLayout w:type="fixed"/>
        <w:tblLook w:val="04A0" w:firstRow="1" w:lastRow="0" w:firstColumn="1" w:lastColumn="0" w:noHBand="0" w:noVBand="1"/>
      </w:tblPr>
      <w:tblGrid>
        <w:gridCol w:w="2070"/>
        <w:gridCol w:w="2340"/>
        <w:gridCol w:w="2070"/>
        <w:gridCol w:w="2070"/>
        <w:gridCol w:w="2160"/>
        <w:gridCol w:w="2430"/>
        <w:gridCol w:w="1260"/>
      </w:tblGrid>
      <w:tr w:rsidR="00761515" w:rsidRPr="000453AD" w14:paraId="0CD85080" w14:textId="77777777" w:rsidTr="00761515">
        <w:tc>
          <w:tcPr>
            <w:tcW w:w="2070" w:type="dxa"/>
            <w:shd w:val="clear" w:color="auto" w:fill="ED7D31" w:themeFill="accent2"/>
          </w:tcPr>
          <w:p w14:paraId="53DB649E" w14:textId="77777777" w:rsidR="00761515" w:rsidRPr="000453AD" w:rsidRDefault="00761515" w:rsidP="00845310">
            <w:pPr>
              <w:rPr>
                <w:b/>
                <w:bCs/>
              </w:rPr>
            </w:pPr>
            <w:r w:rsidRPr="000453AD">
              <w:rPr>
                <w:b/>
                <w:bCs/>
              </w:rPr>
              <w:t xml:space="preserve">Key Domains of Integrated Care </w:t>
            </w:r>
          </w:p>
        </w:tc>
        <w:tc>
          <w:tcPr>
            <w:tcW w:w="2340" w:type="dxa"/>
            <w:shd w:val="clear" w:color="auto" w:fill="ED7D31" w:themeFill="accent2"/>
          </w:tcPr>
          <w:p w14:paraId="22AFE2A8" w14:textId="77777777" w:rsidR="00761515" w:rsidRPr="000453AD" w:rsidRDefault="00761515" w:rsidP="00845310">
            <w:pPr>
              <w:rPr>
                <w:b/>
                <w:bCs/>
              </w:rPr>
            </w:pPr>
            <w:r>
              <w:rPr>
                <w:b/>
                <w:bCs/>
              </w:rPr>
              <w:t>Sub-Domain</w:t>
            </w:r>
          </w:p>
        </w:tc>
        <w:tc>
          <w:tcPr>
            <w:tcW w:w="2070" w:type="dxa"/>
            <w:shd w:val="clear" w:color="auto" w:fill="8EAADB" w:themeFill="accent1" w:themeFillTint="99"/>
          </w:tcPr>
          <w:p w14:paraId="50971807" w14:textId="77777777" w:rsidR="00761515" w:rsidRPr="000453AD" w:rsidRDefault="00761515" w:rsidP="00845310">
            <w:pPr>
              <w:rPr>
                <w:b/>
                <w:bCs/>
              </w:rPr>
            </w:pPr>
            <w:r w:rsidRPr="000453AD">
              <w:rPr>
                <w:b/>
                <w:bCs/>
              </w:rPr>
              <w:t>Preliminary</w:t>
            </w:r>
          </w:p>
        </w:tc>
        <w:tc>
          <w:tcPr>
            <w:tcW w:w="2070" w:type="dxa"/>
            <w:shd w:val="clear" w:color="auto" w:fill="8EAADB" w:themeFill="accent1" w:themeFillTint="99"/>
          </w:tcPr>
          <w:p w14:paraId="4F81ABF2" w14:textId="77777777" w:rsidR="00761515" w:rsidRPr="000453AD" w:rsidRDefault="00761515" w:rsidP="00845310">
            <w:pPr>
              <w:rPr>
                <w:b/>
                <w:bCs/>
              </w:rPr>
            </w:pPr>
            <w:r w:rsidRPr="000453AD">
              <w:rPr>
                <w:b/>
                <w:bCs/>
              </w:rPr>
              <w:t>Intermediate I.</w:t>
            </w:r>
          </w:p>
        </w:tc>
        <w:tc>
          <w:tcPr>
            <w:tcW w:w="2160" w:type="dxa"/>
            <w:shd w:val="clear" w:color="auto" w:fill="8EAADB" w:themeFill="accent1" w:themeFillTint="99"/>
          </w:tcPr>
          <w:p w14:paraId="3CAE2FDE" w14:textId="77777777" w:rsidR="00761515" w:rsidRPr="000453AD" w:rsidRDefault="00761515" w:rsidP="00845310">
            <w:pPr>
              <w:rPr>
                <w:b/>
                <w:bCs/>
              </w:rPr>
            </w:pPr>
            <w:r w:rsidRPr="000453AD">
              <w:rPr>
                <w:b/>
                <w:bCs/>
              </w:rPr>
              <w:t>Intermediate II.</w:t>
            </w:r>
          </w:p>
        </w:tc>
        <w:tc>
          <w:tcPr>
            <w:tcW w:w="2430" w:type="dxa"/>
            <w:shd w:val="clear" w:color="auto" w:fill="8EAADB" w:themeFill="accent1" w:themeFillTint="99"/>
          </w:tcPr>
          <w:p w14:paraId="016F2009" w14:textId="77777777" w:rsidR="00761515" w:rsidRPr="005C14A9" w:rsidRDefault="00761515" w:rsidP="00845310">
            <w:pPr>
              <w:rPr>
                <w:b/>
                <w:bCs/>
              </w:rPr>
            </w:pPr>
            <w:r w:rsidRPr="005C14A9">
              <w:rPr>
                <w:b/>
                <w:bCs/>
              </w:rPr>
              <w:t>Advanced</w:t>
            </w:r>
          </w:p>
        </w:tc>
        <w:tc>
          <w:tcPr>
            <w:tcW w:w="1260" w:type="dxa"/>
          </w:tcPr>
          <w:p w14:paraId="1F2C9838" w14:textId="77777777" w:rsidR="00761515" w:rsidRPr="000453AD" w:rsidRDefault="00761515" w:rsidP="00845310">
            <w:pPr>
              <w:rPr>
                <w:b/>
                <w:bCs/>
              </w:rPr>
            </w:pPr>
            <w:r w:rsidRPr="006870FB">
              <w:rPr>
                <w:b/>
                <w:bCs/>
                <w:sz w:val="20"/>
                <w:szCs w:val="20"/>
              </w:rPr>
              <w:t>Self-Assessed Level</w:t>
            </w:r>
          </w:p>
        </w:tc>
      </w:tr>
      <w:tr w:rsidR="009E673C" w:rsidRPr="000453AD" w14:paraId="182F4FA0" w14:textId="77777777" w:rsidTr="00761515">
        <w:tc>
          <w:tcPr>
            <w:tcW w:w="2070" w:type="dxa"/>
            <w:shd w:val="clear" w:color="auto" w:fill="F4B083" w:themeFill="accent2" w:themeFillTint="99"/>
          </w:tcPr>
          <w:p w14:paraId="287A37EC" w14:textId="35EB8129" w:rsidR="009E673C" w:rsidRPr="000763EE" w:rsidRDefault="009E673C" w:rsidP="009E673C">
            <w:pPr>
              <w:rPr>
                <w:b/>
                <w:bCs/>
                <w:sz w:val="18"/>
                <w:szCs w:val="18"/>
              </w:rPr>
            </w:pPr>
            <w:r w:rsidRPr="000763EE">
              <w:rPr>
                <w:sz w:val="18"/>
                <w:szCs w:val="18"/>
              </w:rPr>
              <w:t>1. Screening</w:t>
            </w:r>
            <w:r w:rsidRPr="000763EE">
              <w:rPr>
                <w:rStyle w:val="EndnoteReference"/>
                <w:sz w:val="18"/>
                <w:szCs w:val="18"/>
              </w:rPr>
              <w:endnoteReference w:id="1"/>
            </w:r>
            <w:r w:rsidRPr="000763EE">
              <w:rPr>
                <w:sz w:val="18"/>
                <w:szCs w:val="18"/>
              </w:rPr>
              <w:t>, Referral to Care and Follow-up (f/u)</w:t>
            </w:r>
          </w:p>
        </w:tc>
        <w:tc>
          <w:tcPr>
            <w:tcW w:w="2340" w:type="dxa"/>
            <w:shd w:val="clear" w:color="auto" w:fill="F4B083" w:themeFill="accent2" w:themeFillTint="99"/>
          </w:tcPr>
          <w:p w14:paraId="73C02AB4" w14:textId="5ABB1737" w:rsidR="009E673C" w:rsidRPr="00DE2AAB" w:rsidRDefault="009E673C" w:rsidP="009E673C">
            <w:pPr>
              <w:rPr>
                <w:b/>
                <w:bCs/>
                <w:sz w:val="18"/>
                <w:szCs w:val="18"/>
              </w:rPr>
            </w:pPr>
            <w:r w:rsidRPr="00DE2AAB">
              <w:rPr>
                <w:sz w:val="18"/>
                <w:szCs w:val="18"/>
              </w:rPr>
              <w:t>1.1 Screening and f/u for preventive and general health conditions</w:t>
            </w:r>
            <w:r w:rsidRPr="00DE2AAB">
              <w:rPr>
                <w:rStyle w:val="EndnoteReference"/>
                <w:sz w:val="18"/>
                <w:szCs w:val="18"/>
              </w:rPr>
              <w:endnoteReference w:id="2"/>
            </w:r>
          </w:p>
        </w:tc>
        <w:tc>
          <w:tcPr>
            <w:tcW w:w="2070" w:type="dxa"/>
            <w:shd w:val="clear" w:color="auto" w:fill="B4C6E7" w:themeFill="accent1" w:themeFillTint="66"/>
          </w:tcPr>
          <w:p w14:paraId="2E3330A8" w14:textId="2F7D3F92" w:rsidR="009E673C" w:rsidRPr="00381781" w:rsidRDefault="009E673C" w:rsidP="009E673C">
            <w:pPr>
              <w:rPr>
                <w:b/>
                <w:bCs/>
                <w:sz w:val="18"/>
                <w:szCs w:val="18"/>
              </w:rPr>
            </w:pPr>
            <w:r w:rsidRPr="00381781">
              <w:rPr>
                <w:sz w:val="18"/>
                <w:szCs w:val="18"/>
              </w:rPr>
              <w:t>Response to patient self-report of general health complaints and/or chronic illness with f/u only when prompted.</w:t>
            </w:r>
          </w:p>
        </w:tc>
        <w:tc>
          <w:tcPr>
            <w:tcW w:w="2070" w:type="dxa"/>
            <w:shd w:val="clear" w:color="auto" w:fill="B4C6E7" w:themeFill="accent1" w:themeFillTint="66"/>
          </w:tcPr>
          <w:p w14:paraId="7CDE5AD8" w14:textId="20901639" w:rsidR="009E673C" w:rsidRPr="00E337C0" w:rsidRDefault="009E673C" w:rsidP="009E673C">
            <w:pPr>
              <w:rPr>
                <w:b/>
                <w:bCs/>
                <w:sz w:val="18"/>
                <w:szCs w:val="18"/>
              </w:rPr>
            </w:pPr>
            <w:r w:rsidRPr="00E54C2C">
              <w:rPr>
                <w:sz w:val="18"/>
                <w:szCs w:val="18"/>
              </w:rPr>
              <w:t>Systematic screening for universal general health risk factors</w:t>
            </w:r>
            <w:r w:rsidRPr="00E54C2C">
              <w:rPr>
                <w:sz w:val="18"/>
                <w:szCs w:val="18"/>
                <w:vertAlign w:val="superscript"/>
              </w:rPr>
              <w:endnoteReference w:id="3"/>
            </w:r>
            <w:r w:rsidRPr="00E54C2C">
              <w:rPr>
                <w:sz w:val="18"/>
                <w:szCs w:val="18"/>
              </w:rPr>
              <w:t xml:space="preserve"> and proactive health education to support motivation to address risk factors.</w:t>
            </w:r>
          </w:p>
        </w:tc>
        <w:tc>
          <w:tcPr>
            <w:tcW w:w="2160" w:type="dxa"/>
            <w:shd w:val="clear" w:color="auto" w:fill="B4C6E7" w:themeFill="accent1" w:themeFillTint="66"/>
          </w:tcPr>
          <w:p w14:paraId="79500B0C" w14:textId="5E3CF323" w:rsidR="009E673C" w:rsidRPr="009E673C" w:rsidRDefault="009E673C" w:rsidP="009E673C">
            <w:pPr>
              <w:rPr>
                <w:b/>
                <w:bCs/>
                <w:sz w:val="18"/>
                <w:szCs w:val="18"/>
              </w:rPr>
            </w:pPr>
            <w:r w:rsidRPr="009E673C">
              <w:rPr>
                <w:sz w:val="18"/>
                <w:szCs w:val="18"/>
              </w:rPr>
              <w:t>Systematic, screening and tracking of universal and relevant targeted health risk factors</w:t>
            </w:r>
            <w:r w:rsidRPr="009E673C">
              <w:rPr>
                <w:rStyle w:val="EndnoteReference"/>
                <w:sz w:val="18"/>
                <w:szCs w:val="18"/>
              </w:rPr>
              <w:endnoteReference w:id="4"/>
            </w:r>
            <w:r w:rsidRPr="009E673C">
              <w:rPr>
                <w:sz w:val="18"/>
                <w:szCs w:val="18"/>
              </w:rPr>
              <w:t xml:space="preserve"> as well as routine f/u for general health conditions with the availability of in-person or telehealth primary care</w:t>
            </w:r>
          </w:p>
        </w:tc>
        <w:tc>
          <w:tcPr>
            <w:tcW w:w="2430" w:type="dxa"/>
            <w:shd w:val="clear" w:color="auto" w:fill="B4C6E7" w:themeFill="accent1" w:themeFillTint="66"/>
          </w:tcPr>
          <w:p w14:paraId="0EC4D1DC" w14:textId="6F0275B3" w:rsidR="009E673C" w:rsidRPr="00E337C0" w:rsidRDefault="00B70AB6" w:rsidP="009E673C">
            <w:pPr>
              <w:rPr>
                <w:b/>
                <w:bCs/>
                <w:sz w:val="18"/>
                <w:szCs w:val="18"/>
              </w:rPr>
            </w:pPr>
            <w:r w:rsidRPr="00B70AB6">
              <w:rPr>
                <w:sz w:val="18"/>
                <w:szCs w:val="18"/>
              </w:rPr>
              <w:t>Analysis of patient population to stratify by severity of medical complexity and/or high-cost utilization for proactive assessment tracking with in-person or telehealth primary care.</w:t>
            </w:r>
          </w:p>
        </w:tc>
        <w:tc>
          <w:tcPr>
            <w:tcW w:w="1260" w:type="dxa"/>
          </w:tcPr>
          <w:p w14:paraId="2FB39A32" w14:textId="77777777" w:rsidR="009E673C" w:rsidRPr="00E337C0" w:rsidRDefault="009E673C" w:rsidP="009E673C">
            <w:pPr>
              <w:rPr>
                <w:b/>
                <w:bCs/>
                <w:sz w:val="18"/>
                <w:szCs w:val="18"/>
              </w:rPr>
            </w:pPr>
          </w:p>
        </w:tc>
      </w:tr>
    </w:tbl>
    <w:p w14:paraId="46F86A75" w14:textId="77777777" w:rsidR="009D2493" w:rsidRDefault="009D2493" w:rsidP="009D249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5DE221E1" w14:textId="77777777" w:rsidR="001302A3" w:rsidRPr="00B64EAD" w:rsidRDefault="001302A3" w:rsidP="009D2493"/>
    <w:p w14:paraId="4318F4D4" w14:textId="77777777" w:rsidR="009D2493" w:rsidRPr="009827F6" w:rsidRDefault="009D2493" w:rsidP="009D2493">
      <w:r w:rsidRPr="009827F6">
        <w:t>1</w:t>
      </w:r>
      <w:r>
        <w:t>2.</w:t>
      </w:r>
    </w:p>
    <w:tbl>
      <w:tblPr>
        <w:tblStyle w:val="TableGrid"/>
        <w:tblW w:w="14490" w:type="dxa"/>
        <w:tblInd w:w="-185" w:type="dxa"/>
        <w:tblLayout w:type="fixed"/>
        <w:tblLook w:val="04A0" w:firstRow="1" w:lastRow="0" w:firstColumn="1" w:lastColumn="0" w:noHBand="0" w:noVBand="1"/>
      </w:tblPr>
      <w:tblGrid>
        <w:gridCol w:w="2070"/>
        <w:gridCol w:w="2340"/>
        <w:gridCol w:w="2070"/>
        <w:gridCol w:w="2070"/>
        <w:gridCol w:w="2160"/>
        <w:gridCol w:w="2430"/>
        <w:gridCol w:w="1350"/>
      </w:tblGrid>
      <w:tr w:rsidR="00B70AB6" w:rsidRPr="000453AD" w14:paraId="3385CC3C" w14:textId="77777777" w:rsidTr="00B70AB6">
        <w:tc>
          <w:tcPr>
            <w:tcW w:w="2070" w:type="dxa"/>
            <w:shd w:val="clear" w:color="auto" w:fill="ED7D31" w:themeFill="accent2"/>
          </w:tcPr>
          <w:p w14:paraId="3F1FCDEA" w14:textId="77777777" w:rsidR="00B70AB6" w:rsidRPr="000453AD" w:rsidRDefault="00B70AB6" w:rsidP="00845310">
            <w:pPr>
              <w:rPr>
                <w:b/>
                <w:bCs/>
              </w:rPr>
            </w:pPr>
            <w:r w:rsidRPr="000453AD">
              <w:rPr>
                <w:b/>
                <w:bCs/>
              </w:rPr>
              <w:t xml:space="preserve">Key Domains of Integrated Care </w:t>
            </w:r>
          </w:p>
        </w:tc>
        <w:tc>
          <w:tcPr>
            <w:tcW w:w="2340" w:type="dxa"/>
            <w:shd w:val="clear" w:color="auto" w:fill="ED7D31" w:themeFill="accent2"/>
          </w:tcPr>
          <w:p w14:paraId="422B5DED" w14:textId="77777777" w:rsidR="00B70AB6" w:rsidRPr="000453AD" w:rsidRDefault="00B70AB6" w:rsidP="00845310">
            <w:pPr>
              <w:rPr>
                <w:b/>
                <w:bCs/>
              </w:rPr>
            </w:pPr>
            <w:r>
              <w:rPr>
                <w:b/>
                <w:bCs/>
              </w:rPr>
              <w:t>Sub-Domain</w:t>
            </w:r>
          </w:p>
        </w:tc>
        <w:tc>
          <w:tcPr>
            <w:tcW w:w="2070" w:type="dxa"/>
            <w:shd w:val="clear" w:color="auto" w:fill="8EAADB" w:themeFill="accent1" w:themeFillTint="99"/>
          </w:tcPr>
          <w:p w14:paraId="14BF37B9" w14:textId="77777777" w:rsidR="00B70AB6" w:rsidRPr="000453AD" w:rsidRDefault="00B70AB6" w:rsidP="00845310">
            <w:pPr>
              <w:rPr>
                <w:b/>
                <w:bCs/>
              </w:rPr>
            </w:pPr>
            <w:r w:rsidRPr="000453AD">
              <w:rPr>
                <w:b/>
                <w:bCs/>
              </w:rPr>
              <w:t>Preliminary</w:t>
            </w:r>
          </w:p>
        </w:tc>
        <w:tc>
          <w:tcPr>
            <w:tcW w:w="2070" w:type="dxa"/>
            <w:shd w:val="clear" w:color="auto" w:fill="8EAADB" w:themeFill="accent1" w:themeFillTint="99"/>
          </w:tcPr>
          <w:p w14:paraId="06C979E5" w14:textId="77777777" w:rsidR="00B70AB6" w:rsidRPr="000453AD" w:rsidRDefault="00B70AB6" w:rsidP="00845310">
            <w:pPr>
              <w:rPr>
                <w:b/>
                <w:bCs/>
              </w:rPr>
            </w:pPr>
            <w:r w:rsidRPr="000453AD">
              <w:rPr>
                <w:b/>
                <w:bCs/>
              </w:rPr>
              <w:t>Intermediate I.</w:t>
            </w:r>
          </w:p>
        </w:tc>
        <w:tc>
          <w:tcPr>
            <w:tcW w:w="2160" w:type="dxa"/>
            <w:shd w:val="clear" w:color="auto" w:fill="8EAADB" w:themeFill="accent1" w:themeFillTint="99"/>
          </w:tcPr>
          <w:p w14:paraId="7A55F6D1" w14:textId="77777777" w:rsidR="00B70AB6" w:rsidRPr="000453AD" w:rsidRDefault="00B70AB6" w:rsidP="00845310">
            <w:pPr>
              <w:rPr>
                <w:b/>
                <w:bCs/>
              </w:rPr>
            </w:pPr>
            <w:r w:rsidRPr="000453AD">
              <w:rPr>
                <w:b/>
                <w:bCs/>
              </w:rPr>
              <w:t>Intermediate II.</w:t>
            </w:r>
          </w:p>
        </w:tc>
        <w:tc>
          <w:tcPr>
            <w:tcW w:w="2430" w:type="dxa"/>
            <w:shd w:val="clear" w:color="auto" w:fill="8EAADB" w:themeFill="accent1" w:themeFillTint="99"/>
          </w:tcPr>
          <w:p w14:paraId="4EEAABB5" w14:textId="77777777" w:rsidR="00B70AB6" w:rsidRPr="005C14A9" w:rsidRDefault="00B70AB6" w:rsidP="00845310">
            <w:pPr>
              <w:rPr>
                <w:b/>
                <w:bCs/>
              </w:rPr>
            </w:pPr>
            <w:r w:rsidRPr="005C14A9">
              <w:rPr>
                <w:b/>
                <w:bCs/>
              </w:rPr>
              <w:t>Advanced</w:t>
            </w:r>
          </w:p>
        </w:tc>
        <w:tc>
          <w:tcPr>
            <w:tcW w:w="1350" w:type="dxa"/>
          </w:tcPr>
          <w:p w14:paraId="1BCA1B4B" w14:textId="77777777" w:rsidR="00B70AB6" w:rsidRPr="000453AD" w:rsidRDefault="00B70AB6" w:rsidP="00845310">
            <w:pPr>
              <w:rPr>
                <w:b/>
                <w:bCs/>
              </w:rPr>
            </w:pPr>
            <w:r w:rsidRPr="006870FB">
              <w:rPr>
                <w:b/>
                <w:bCs/>
                <w:sz w:val="20"/>
                <w:szCs w:val="20"/>
              </w:rPr>
              <w:t>Self-Assessed Level</w:t>
            </w:r>
          </w:p>
        </w:tc>
      </w:tr>
      <w:tr w:rsidR="00B70AB6" w:rsidRPr="00E337C0" w14:paraId="60A47D9A" w14:textId="77777777" w:rsidTr="00B70AB6">
        <w:tc>
          <w:tcPr>
            <w:tcW w:w="2070" w:type="dxa"/>
            <w:shd w:val="clear" w:color="auto" w:fill="F4B083" w:themeFill="accent2" w:themeFillTint="99"/>
          </w:tcPr>
          <w:p w14:paraId="2059BDDF" w14:textId="0BEDBF01" w:rsidR="00B70AB6" w:rsidRPr="00E337C0" w:rsidRDefault="00054A5C" w:rsidP="00845310">
            <w:pPr>
              <w:rPr>
                <w:b/>
                <w:bCs/>
                <w:sz w:val="18"/>
                <w:szCs w:val="18"/>
              </w:rPr>
            </w:pPr>
            <w:r w:rsidRPr="00054A5C">
              <w:rPr>
                <w:sz w:val="18"/>
                <w:szCs w:val="18"/>
              </w:rPr>
              <w:t xml:space="preserve">1. Screening, </w:t>
            </w:r>
            <w:r>
              <w:rPr>
                <w:sz w:val="18"/>
                <w:szCs w:val="18"/>
              </w:rPr>
              <w:t>R</w:t>
            </w:r>
            <w:r w:rsidRPr="00054A5C">
              <w:rPr>
                <w:sz w:val="18"/>
                <w:szCs w:val="18"/>
              </w:rPr>
              <w:t>eferral to Care and Follow-up (f/u)</w:t>
            </w:r>
          </w:p>
        </w:tc>
        <w:tc>
          <w:tcPr>
            <w:tcW w:w="2340" w:type="dxa"/>
            <w:shd w:val="clear" w:color="auto" w:fill="F4B083" w:themeFill="accent2" w:themeFillTint="99"/>
          </w:tcPr>
          <w:p w14:paraId="2DD5D414" w14:textId="73BBFA6D" w:rsidR="00B70AB6" w:rsidRPr="00E337C0" w:rsidRDefault="005128A9" w:rsidP="00845310">
            <w:pPr>
              <w:rPr>
                <w:b/>
                <w:bCs/>
                <w:sz w:val="18"/>
                <w:szCs w:val="18"/>
              </w:rPr>
            </w:pPr>
            <w:r w:rsidRPr="005128A9">
              <w:rPr>
                <w:sz w:val="18"/>
                <w:szCs w:val="18"/>
              </w:rPr>
              <w:t>1.2 Facilitation of referrals and f/u</w:t>
            </w:r>
          </w:p>
        </w:tc>
        <w:tc>
          <w:tcPr>
            <w:tcW w:w="2070" w:type="dxa"/>
            <w:shd w:val="clear" w:color="auto" w:fill="B4C6E7" w:themeFill="accent1" w:themeFillTint="66"/>
          </w:tcPr>
          <w:p w14:paraId="7F35C25A" w14:textId="5DFCAA67" w:rsidR="00B70AB6" w:rsidRPr="00E337C0" w:rsidRDefault="00034F81" w:rsidP="00845310">
            <w:pPr>
              <w:rPr>
                <w:b/>
                <w:bCs/>
                <w:sz w:val="18"/>
                <w:szCs w:val="18"/>
              </w:rPr>
            </w:pPr>
            <w:r w:rsidRPr="00034F81">
              <w:rPr>
                <w:sz w:val="18"/>
                <w:szCs w:val="18"/>
              </w:rPr>
              <w:t>Referral to external primary care provider(s) (PCP) and no/limited f/u.</w:t>
            </w:r>
          </w:p>
        </w:tc>
        <w:tc>
          <w:tcPr>
            <w:tcW w:w="2070" w:type="dxa"/>
            <w:shd w:val="clear" w:color="auto" w:fill="B4C6E7" w:themeFill="accent1" w:themeFillTint="66"/>
          </w:tcPr>
          <w:p w14:paraId="4C6DF4A6" w14:textId="4D1D5C4F" w:rsidR="00B70AB6" w:rsidRPr="00E337C0" w:rsidRDefault="00015602" w:rsidP="00845310">
            <w:pPr>
              <w:rPr>
                <w:b/>
                <w:bCs/>
                <w:sz w:val="18"/>
                <w:szCs w:val="18"/>
              </w:rPr>
            </w:pPr>
            <w:r w:rsidRPr="00015602">
              <w:rPr>
                <w:sz w:val="18"/>
                <w:szCs w:val="18"/>
              </w:rPr>
              <w:t>Written collaborative agreement with external primary care practice to facilitate referral that includes engagement and communication expectations between behavioral health and PCP.</w:t>
            </w:r>
          </w:p>
        </w:tc>
        <w:tc>
          <w:tcPr>
            <w:tcW w:w="2160" w:type="dxa"/>
            <w:shd w:val="clear" w:color="auto" w:fill="B4C6E7" w:themeFill="accent1" w:themeFillTint="66"/>
          </w:tcPr>
          <w:p w14:paraId="314F6B2F" w14:textId="05F1BAF2" w:rsidR="00B70AB6" w:rsidRPr="00E337C0" w:rsidRDefault="00D06047" w:rsidP="00845310">
            <w:pPr>
              <w:rPr>
                <w:b/>
                <w:bCs/>
                <w:sz w:val="18"/>
                <w:szCs w:val="18"/>
              </w:rPr>
            </w:pPr>
            <w:r w:rsidRPr="00D06047">
              <w:rPr>
                <w:sz w:val="18"/>
                <w:szCs w:val="18"/>
              </w:rPr>
              <w:t>Referral to onsite, co-located PCP or availability of primary care telehealth appointments with assurance of "warm handoffs” when needed.</w:t>
            </w:r>
          </w:p>
        </w:tc>
        <w:tc>
          <w:tcPr>
            <w:tcW w:w="2430" w:type="dxa"/>
            <w:shd w:val="clear" w:color="auto" w:fill="B4C6E7" w:themeFill="accent1" w:themeFillTint="66"/>
          </w:tcPr>
          <w:p w14:paraId="4ECFAC9C" w14:textId="1AB21171" w:rsidR="00B70AB6" w:rsidRPr="00E337C0" w:rsidRDefault="00E62CBD" w:rsidP="00845310">
            <w:pPr>
              <w:rPr>
                <w:b/>
                <w:bCs/>
                <w:sz w:val="18"/>
                <w:szCs w:val="18"/>
              </w:rPr>
            </w:pPr>
            <w:r w:rsidRPr="00E62CBD">
              <w:rPr>
                <w:sz w:val="18"/>
                <w:szCs w:val="18"/>
              </w:rPr>
              <w:t>Enhanced referral facilitation to onsite or closely integrated offsite PCPs, with electronic data sharing and accountability for engagement.</w:t>
            </w:r>
          </w:p>
        </w:tc>
        <w:tc>
          <w:tcPr>
            <w:tcW w:w="1350" w:type="dxa"/>
          </w:tcPr>
          <w:p w14:paraId="101DC1E7" w14:textId="77777777" w:rsidR="00B70AB6" w:rsidRPr="00E337C0" w:rsidRDefault="00B70AB6" w:rsidP="00845310">
            <w:pPr>
              <w:rPr>
                <w:b/>
                <w:bCs/>
                <w:sz w:val="18"/>
                <w:szCs w:val="18"/>
              </w:rPr>
            </w:pPr>
          </w:p>
        </w:tc>
      </w:tr>
    </w:tbl>
    <w:p w14:paraId="17BC7209"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2173701D" w14:textId="77777777" w:rsidR="009D2493" w:rsidRDefault="009D2493" w:rsidP="009D2493">
      <w:pPr>
        <w:rPr>
          <w:b/>
          <w:bCs/>
        </w:rPr>
      </w:pPr>
    </w:p>
    <w:p w14:paraId="64A0C2FA" w14:textId="77777777" w:rsidR="009D2493" w:rsidRPr="009827F6" w:rsidRDefault="009D2493" w:rsidP="009D2493">
      <w:r>
        <w:lastRenderedPageBreak/>
        <w:t>13.</w:t>
      </w:r>
    </w:p>
    <w:tbl>
      <w:tblPr>
        <w:tblStyle w:val="TableGrid"/>
        <w:tblW w:w="14490" w:type="dxa"/>
        <w:tblInd w:w="-185" w:type="dxa"/>
        <w:tblLayout w:type="fixed"/>
        <w:tblLook w:val="04A0" w:firstRow="1" w:lastRow="0" w:firstColumn="1" w:lastColumn="0" w:noHBand="0" w:noVBand="1"/>
      </w:tblPr>
      <w:tblGrid>
        <w:gridCol w:w="2070"/>
        <w:gridCol w:w="2340"/>
        <w:gridCol w:w="2070"/>
        <w:gridCol w:w="2070"/>
        <w:gridCol w:w="2160"/>
        <w:gridCol w:w="2430"/>
        <w:gridCol w:w="1350"/>
      </w:tblGrid>
      <w:tr w:rsidR="00E62CBD" w:rsidRPr="000453AD" w14:paraId="0876325C" w14:textId="77777777" w:rsidTr="00E62CBD">
        <w:tc>
          <w:tcPr>
            <w:tcW w:w="2070" w:type="dxa"/>
            <w:shd w:val="clear" w:color="auto" w:fill="ED7D31" w:themeFill="accent2"/>
          </w:tcPr>
          <w:p w14:paraId="67A7DA0F" w14:textId="77777777" w:rsidR="00E62CBD" w:rsidRPr="000453AD" w:rsidRDefault="00E62CBD" w:rsidP="00845310">
            <w:pPr>
              <w:rPr>
                <w:b/>
                <w:bCs/>
              </w:rPr>
            </w:pPr>
            <w:r w:rsidRPr="000453AD">
              <w:rPr>
                <w:b/>
                <w:bCs/>
              </w:rPr>
              <w:t xml:space="preserve">Key Domains of Integrated Care </w:t>
            </w:r>
          </w:p>
        </w:tc>
        <w:tc>
          <w:tcPr>
            <w:tcW w:w="2340" w:type="dxa"/>
            <w:shd w:val="clear" w:color="auto" w:fill="ED7D31" w:themeFill="accent2"/>
          </w:tcPr>
          <w:p w14:paraId="2D656284" w14:textId="77777777" w:rsidR="00E62CBD" w:rsidRPr="000453AD" w:rsidRDefault="00E62CBD" w:rsidP="00845310">
            <w:pPr>
              <w:rPr>
                <w:b/>
                <w:bCs/>
              </w:rPr>
            </w:pPr>
            <w:r>
              <w:rPr>
                <w:b/>
                <w:bCs/>
              </w:rPr>
              <w:t>Sub-Domain</w:t>
            </w:r>
          </w:p>
        </w:tc>
        <w:tc>
          <w:tcPr>
            <w:tcW w:w="2070" w:type="dxa"/>
            <w:shd w:val="clear" w:color="auto" w:fill="8EAADB" w:themeFill="accent1" w:themeFillTint="99"/>
          </w:tcPr>
          <w:p w14:paraId="25813F77" w14:textId="77777777" w:rsidR="00E62CBD" w:rsidRPr="000453AD" w:rsidRDefault="00E62CBD" w:rsidP="00845310">
            <w:pPr>
              <w:rPr>
                <w:b/>
                <w:bCs/>
              </w:rPr>
            </w:pPr>
            <w:r w:rsidRPr="000453AD">
              <w:rPr>
                <w:b/>
                <w:bCs/>
              </w:rPr>
              <w:t>Preliminary</w:t>
            </w:r>
          </w:p>
        </w:tc>
        <w:tc>
          <w:tcPr>
            <w:tcW w:w="2070" w:type="dxa"/>
            <w:shd w:val="clear" w:color="auto" w:fill="8EAADB" w:themeFill="accent1" w:themeFillTint="99"/>
          </w:tcPr>
          <w:p w14:paraId="6A6C8614" w14:textId="77777777" w:rsidR="00E62CBD" w:rsidRPr="000453AD" w:rsidRDefault="00E62CBD" w:rsidP="00845310">
            <w:pPr>
              <w:rPr>
                <w:b/>
                <w:bCs/>
              </w:rPr>
            </w:pPr>
            <w:r w:rsidRPr="000453AD">
              <w:rPr>
                <w:b/>
                <w:bCs/>
              </w:rPr>
              <w:t>Intermediate I.</w:t>
            </w:r>
          </w:p>
        </w:tc>
        <w:tc>
          <w:tcPr>
            <w:tcW w:w="2160" w:type="dxa"/>
            <w:shd w:val="clear" w:color="auto" w:fill="8EAADB" w:themeFill="accent1" w:themeFillTint="99"/>
          </w:tcPr>
          <w:p w14:paraId="6060A2E7" w14:textId="77777777" w:rsidR="00E62CBD" w:rsidRPr="000453AD" w:rsidRDefault="00E62CBD" w:rsidP="00845310">
            <w:pPr>
              <w:rPr>
                <w:b/>
                <w:bCs/>
              </w:rPr>
            </w:pPr>
            <w:r w:rsidRPr="000453AD">
              <w:rPr>
                <w:b/>
                <w:bCs/>
              </w:rPr>
              <w:t>Intermediate II.</w:t>
            </w:r>
          </w:p>
        </w:tc>
        <w:tc>
          <w:tcPr>
            <w:tcW w:w="2430" w:type="dxa"/>
            <w:shd w:val="clear" w:color="auto" w:fill="8EAADB" w:themeFill="accent1" w:themeFillTint="99"/>
          </w:tcPr>
          <w:p w14:paraId="7656587F" w14:textId="77777777" w:rsidR="00E62CBD" w:rsidRPr="005C14A9" w:rsidRDefault="00E62CBD" w:rsidP="00845310">
            <w:pPr>
              <w:rPr>
                <w:b/>
                <w:bCs/>
              </w:rPr>
            </w:pPr>
            <w:r w:rsidRPr="005C14A9">
              <w:rPr>
                <w:b/>
                <w:bCs/>
              </w:rPr>
              <w:t>Advanced</w:t>
            </w:r>
          </w:p>
        </w:tc>
        <w:tc>
          <w:tcPr>
            <w:tcW w:w="1350" w:type="dxa"/>
          </w:tcPr>
          <w:p w14:paraId="698E0582" w14:textId="77777777" w:rsidR="00E62CBD" w:rsidRPr="000453AD" w:rsidRDefault="00E62CBD" w:rsidP="00845310">
            <w:pPr>
              <w:rPr>
                <w:b/>
                <w:bCs/>
              </w:rPr>
            </w:pPr>
            <w:r w:rsidRPr="006870FB">
              <w:rPr>
                <w:b/>
                <w:bCs/>
                <w:sz w:val="20"/>
                <w:szCs w:val="20"/>
              </w:rPr>
              <w:t>Self-Assessed Level</w:t>
            </w:r>
          </w:p>
        </w:tc>
      </w:tr>
      <w:tr w:rsidR="00E62CBD" w:rsidRPr="00E337C0" w14:paraId="29B176BF" w14:textId="77777777" w:rsidTr="00E62CBD">
        <w:tc>
          <w:tcPr>
            <w:tcW w:w="2070" w:type="dxa"/>
            <w:shd w:val="clear" w:color="auto" w:fill="F4B083" w:themeFill="accent2" w:themeFillTint="99"/>
          </w:tcPr>
          <w:p w14:paraId="52E570B9" w14:textId="77777777" w:rsidR="00CD4D00" w:rsidRPr="00CD4D00" w:rsidRDefault="00CD4D00" w:rsidP="00CD4D00">
            <w:pPr>
              <w:rPr>
                <w:sz w:val="18"/>
                <w:szCs w:val="18"/>
              </w:rPr>
            </w:pPr>
            <w:r w:rsidRPr="00CD4D00">
              <w:rPr>
                <w:sz w:val="18"/>
                <w:szCs w:val="18"/>
              </w:rPr>
              <w:t xml:space="preserve">2. Evidence based </w:t>
            </w:r>
          </w:p>
          <w:p w14:paraId="47223C01" w14:textId="77777777" w:rsidR="00CD4D00" w:rsidRPr="00CD4D00" w:rsidRDefault="00CD4D00" w:rsidP="00CD4D00">
            <w:pPr>
              <w:rPr>
                <w:sz w:val="18"/>
                <w:szCs w:val="18"/>
              </w:rPr>
            </w:pPr>
            <w:r w:rsidRPr="00CD4D00">
              <w:rPr>
                <w:sz w:val="18"/>
                <w:szCs w:val="18"/>
              </w:rPr>
              <w:t>care for preventive</w:t>
            </w:r>
          </w:p>
          <w:p w14:paraId="0764C131" w14:textId="77777777" w:rsidR="00CD4D00" w:rsidRPr="00CD4D00" w:rsidRDefault="00CD4D00" w:rsidP="00CD4D00">
            <w:pPr>
              <w:rPr>
                <w:sz w:val="18"/>
                <w:szCs w:val="18"/>
              </w:rPr>
            </w:pPr>
            <w:r w:rsidRPr="00CD4D00">
              <w:rPr>
                <w:sz w:val="18"/>
                <w:szCs w:val="18"/>
              </w:rPr>
              <w:t>interventions</w:t>
            </w:r>
          </w:p>
          <w:p w14:paraId="33C43218" w14:textId="46C99CE1" w:rsidR="00E62CBD" w:rsidRPr="00CD4D00" w:rsidRDefault="00CD4D00" w:rsidP="00CD4D00">
            <w:pPr>
              <w:rPr>
                <w:sz w:val="18"/>
                <w:szCs w:val="18"/>
              </w:rPr>
            </w:pPr>
            <w:r w:rsidRPr="00CD4D00">
              <w:rPr>
                <w:sz w:val="18"/>
                <w:szCs w:val="18"/>
              </w:rPr>
              <w:t>and</w:t>
            </w:r>
            <w:r>
              <w:rPr>
                <w:sz w:val="18"/>
                <w:szCs w:val="18"/>
              </w:rPr>
              <w:t xml:space="preserve"> </w:t>
            </w:r>
            <w:r w:rsidRPr="00CD4D00">
              <w:rPr>
                <w:sz w:val="18"/>
                <w:szCs w:val="18"/>
              </w:rPr>
              <w:t>common</w:t>
            </w:r>
            <w:r>
              <w:rPr>
                <w:sz w:val="18"/>
                <w:szCs w:val="18"/>
              </w:rPr>
              <w:t xml:space="preserve"> </w:t>
            </w:r>
            <w:r w:rsidRPr="00CD4D00">
              <w:rPr>
                <w:sz w:val="18"/>
                <w:szCs w:val="18"/>
              </w:rPr>
              <w:t>chronic</w:t>
            </w:r>
            <w:r>
              <w:rPr>
                <w:sz w:val="18"/>
                <w:szCs w:val="18"/>
              </w:rPr>
              <w:t xml:space="preserve"> h</w:t>
            </w:r>
            <w:r w:rsidRPr="00CD4D00">
              <w:rPr>
                <w:sz w:val="18"/>
                <w:szCs w:val="18"/>
              </w:rPr>
              <w:t>ealth</w:t>
            </w:r>
            <w:r>
              <w:rPr>
                <w:sz w:val="18"/>
                <w:szCs w:val="18"/>
              </w:rPr>
              <w:t xml:space="preserve"> </w:t>
            </w:r>
            <w:r w:rsidRPr="00CD4D00">
              <w:rPr>
                <w:sz w:val="18"/>
                <w:szCs w:val="18"/>
              </w:rPr>
              <w:t>conditions</w:t>
            </w:r>
          </w:p>
        </w:tc>
        <w:tc>
          <w:tcPr>
            <w:tcW w:w="2340" w:type="dxa"/>
            <w:shd w:val="clear" w:color="auto" w:fill="F4B083" w:themeFill="accent2" w:themeFillTint="99"/>
          </w:tcPr>
          <w:p w14:paraId="7E99E413" w14:textId="77777777" w:rsidR="005B10D0" w:rsidRPr="005B10D0" w:rsidRDefault="005B10D0" w:rsidP="005B10D0">
            <w:pPr>
              <w:rPr>
                <w:sz w:val="18"/>
                <w:szCs w:val="18"/>
              </w:rPr>
            </w:pPr>
            <w:r w:rsidRPr="005B10D0">
              <w:rPr>
                <w:sz w:val="18"/>
                <w:szCs w:val="18"/>
              </w:rPr>
              <w:t>2.1 Evidence-based guidelines or treatment</w:t>
            </w:r>
          </w:p>
          <w:p w14:paraId="69A6BCC3" w14:textId="2605319E" w:rsidR="005B10D0" w:rsidRPr="005B10D0" w:rsidRDefault="005B10D0" w:rsidP="005B10D0">
            <w:pPr>
              <w:rPr>
                <w:sz w:val="18"/>
                <w:szCs w:val="18"/>
              </w:rPr>
            </w:pPr>
            <w:r w:rsidRPr="005B10D0">
              <w:rPr>
                <w:sz w:val="18"/>
                <w:szCs w:val="18"/>
              </w:rPr>
              <w:t>protocols for</w:t>
            </w:r>
            <w:r>
              <w:rPr>
                <w:sz w:val="18"/>
                <w:szCs w:val="18"/>
              </w:rPr>
              <w:t xml:space="preserve"> </w:t>
            </w:r>
            <w:r w:rsidRPr="005B10D0">
              <w:rPr>
                <w:sz w:val="18"/>
                <w:szCs w:val="18"/>
              </w:rPr>
              <w:t>preventive</w:t>
            </w:r>
          </w:p>
          <w:p w14:paraId="2A6AA93D" w14:textId="3CA46B44" w:rsidR="00E62CBD" w:rsidRPr="00E337C0" w:rsidRDefault="005B10D0" w:rsidP="005B10D0">
            <w:pPr>
              <w:rPr>
                <w:b/>
                <w:bCs/>
                <w:sz w:val="18"/>
                <w:szCs w:val="18"/>
              </w:rPr>
            </w:pPr>
            <w:r w:rsidRPr="005B10D0">
              <w:rPr>
                <w:sz w:val="18"/>
                <w:szCs w:val="18"/>
              </w:rPr>
              <w:t>interventions</w:t>
            </w:r>
          </w:p>
        </w:tc>
        <w:tc>
          <w:tcPr>
            <w:tcW w:w="2070" w:type="dxa"/>
            <w:shd w:val="clear" w:color="auto" w:fill="B4C6E7" w:themeFill="accent1" w:themeFillTint="66"/>
          </w:tcPr>
          <w:p w14:paraId="58EB5330" w14:textId="1B3CA6F0" w:rsidR="00E62CBD" w:rsidRPr="00E337C0" w:rsidRDefault="009629FD" w:rsidP="00845310">
            <w:pPr>
              <w:rPr>
                <w:b/>
                <w:bCs/>
                <w:sz w:val="18"/>
                <w:szCs w:val="18"/>
              </w:rPr>
            </w:pPr>
            <w:r w:rsidRPr="009629FD">
              <w:rPr>
                <w:sz w:val="18"/>
                <w:szCs w:val="18"/>
              </w:rPr>
              <w:t>Not used or minimal guidelines or protocols used for universal general health risk factor screenings care. No/minimal training for BH providers on preventive screening frequency and results.</w:t>
            </w:r>
          </w:p>
        </w:tc>
        <w:tc>
          <w:tcPr>
            <w:tcW w:w="2070" w:type="dxa"/>
            <w:shd w:val="clear" w:color="auto" w:fill="B4C6E7" w:themeFill="accent1" w:themeFillTint="66"/>
          </w:tcPr>
          <w:p w14:paraId="56E343F5" w14:textId="1E8E3D3F" w:rsidR="00E62CBD" w:rsidRPr="00E337C0" w:rsidRDefault="00121E47" w:rsidP="00845310">
            <w:pPr>
              <w:rPr>
                <w:b/>
                <w:bCs/>
                <w:sz w:val="18"/>
                <w:szCs w:val="18"/>
              </w:rPr>
            </w:pPr>
            <w:r w:rsidRPr="00121E47">
              <w:rPr>
                <w:sz w:val="18"/>
                <w:szCs w:val="18"/>
              </w:rPr>
              <w:t>Routine use of evidence-based guidelines to engage patients on universal general health risk factor screenings with limited training for BH providers on screening frequency and result.</w:t>
            </w:r>
          </w:p>
        </w:tc>
        <w:tc>
          <w:tcPr>
            <w:tcW w:w="2160" w:type="dxa"/>
            <w:shd w:val="clear" w:color="auto" w:fill="B4C6E7" w:themeFill="accent1" w:themeFillTint="66"/>
          </w:tcPr>
          <w:p w14:paraId="67B300F1" w14:textId="6E0510D1" w:rsidR="00E62CBD" w:rsidRPr="00E337C0" w:rsidRDefault="009869AF" w:rsidP="00845310">
            <w:pPr>
              <w:rPr>
                <w:b/>
                <w:bCs/>
                <w:sz w:val="18"/>
                <w:szCs w:val="18"/>
              </w:rPr>
            </w:pPr>
            <w:r w:rsidRPr="009869AF">
              <w:rPr>
                <w:sz w:val="18"/>
                <w:szCs w:val="18"/>
              </w:rPr>
              <w:t>Routine use of evidence-based guidelines for universal and targeted preventive screenings with use of standard workflows for f/u on positive results. BH staff routinely trained on screening frequency and result interpretation.</w:t>
            </w:r>
          </w:p>
        </w:tc>
        <w:tc>
          <w:tcPr>
            <w:tcW w:w="2430" w:type="dxa"/>
            <w:shd w:val="clear" w:color="auto" w:fill="B4C6E7" w:themeFill="accent1" w:themeFillTint="66"/>
          </w:tcPr>
          <w:p w14:paraId="59380FD1" w14:textId="26B4DBA2" w:rsidR="00E62CBD" w:rsidRPr="00E337C0" w:rsidRDefault="0042286C" w:rsidP="00845310">
            <w:pPr>
              <w:rPr>
                <w:b/>
                <w:bCs/>
                <w:sz w:val="18"/>
                <w:szCs w:val="18"/>
              </w:rPr>
            </w:pPr>
            <w:r w:rsidRPr="0042286C">
              <w:rPr>
                <w:sz w:val="18"/>
                <w:szCs w:val="18"/>
              </w:rPr>
              <w:t>Systematic tracking and reminder system (embedded in EHR) used to assess need for preventive screenings, workflows for f/u availability of EB and outcomes driven programs to reduce or mitigate general health risk factors (smoking, alcohol, overweight, etc.).</w:t>
            </w:r>
          </w:p>
        </w:tc>
        <w:tc>
          <w:tcPr>
            <w:tcW w:w="1350" w:type="dxa"/>
          </w:tcPr>
          <w:p w14:paraId="56C39ED7" w14:textId="77777777" w:rsidR="00E62CBD" w:rsidRPr="00E337C0" w:rsidRDefault="00E62CBD" w:rsidP="00845310">
            <w:pPr>
              <w:rPr>
                <w:b/>
                <w:bCs/>
                <w:sz w:val="18"/>
                <w:szCs w:val="18"/>
              </w:rPr>
            </w:pPr>
          </w:p>
        </w:tc>
      </w:tr>
    </w:tbl>
    <w:p w14:paraId="473A9CE3"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182552A8" w14:textId="77777777" w:rsidR="009D2493" w:rsidRDefault="009D2493" w:rsidP="009D2493">
      <w:pPr>
        <w:rPr>
          <w:b/>
          <w:bCs/>
        </w:rPr>
      </w:pPr>
    </w:p>
    <w:p w14:paraId="6AE0C5A1" w14:textId="77777777" w:rsidR="009D2493" w:rsidRPr="009827F6" w:rsidRDefault="009D2493" w:rsidP="009D2493">
      <w:r>
        <w:t>14.</w:t>
      </w:r>
    </w:p>
    <w:tbl>
      <w:tblPr>
        <w:tblStyle w:val="TableGrid"/>
        <w:tblW w:w="14490" w:type="dxa"/>
        <w:tblInd w:w="-185" w:type="dxa"/>
        <w:tblLayout w:type="fixed"/>
        <w:tblLook w:val="04A0" w:firstRow="1" w:lastRow="0" w:firstColumn="1" w:lastColumn="0" w:noHBand="0" w:noVBand="1"/>
      </w:tblPr>
      <w:tblGrid>
        <w:gridCol w:w="2070"/>
        <w:gridCol w:w="2340"/>
        <w:gridCol w:w="2070"/>
        <w:gridCol w:w="2070"/>
        <w:gridCol w:w="2160"/>
        <w:gridCol w:w="2430"/>
        <w:gridCol w:w="1350"/>
      </w:tblGrid>
      <w:tr w:rsidR="0042286C" w:rsidRPr="000453AD" w14:paraId="1EF3EA41" w14:textId="77777777" w:rsidTr="0042286C">
        <w:tc>
          <w:tcPr>
            <w:tcW w:w="2070" w:type="dxa"/>
            <w:shd w:val="clear" w:color="auto" w:fill="ED7D31" w:themeFill="accent2"/>
          </w:tcPr>
          <w:p w14:paraId="4EAC235D" w14:textId="77777777" w:rsidR="0042286C" w:rsidRPr="000453AD" w:rsidRDefault="0042286C" w:rsidP="00845310">
            <w:pPr>
              <w:rPr>
                <w:b/>
                <w:bCs/>
              </w:rPr>
            </w:pPr>
            <w:r w:rsidRPr="000453AD">
              <w:rPr>
                <w:b/>
                <w:bCs/>
              </w:rPr>
              <w:t xml:space="preserve">Key Domains of Integrated Care </w:t>
            </w:r>
          </w:p>
        </w:tc>
        <w:tc>
          <w:tcPr>
            <w:tcW w:w="2340" w:type="dxa"/>
            <w:shd w:val="clear" w:color="auto" w:fill="ED7D31" w:themeFill="accent2"/>
          </w:tcPr>
          <w:p w14:paraId="3CD5898B" w14:textId="77777777" w:rsidR="0042286C" w:rsidRPr="000453AD" w:rsidRDefault="0042286C" w:rsidP="00845310">
            <w:pPr>
              <w:rPr>
                <w:b/>
                <w:bCs/>
              </w:rPr>
            </w:pPr>
            <w:r>
              <w:rPr>
                <w:b/>
                <w:bCs/>
              </w:rPr>
              <w:t>Sub-Domain</w:t>
            </w:r>
          </w:p>
        </w:tc>
        <w:tc>
          <w:tcPr>
            <w:tcW w:w="2070" w:type="dxa"/>
            <w:shd w:val="clear" w:color="auto" w:fill="8EAADB" w:themeFill="accent1" w:themeFillTint="99"/>
          </w:tcPr>
          <w:p w14:paraId="670A5C68" w14:textId="77777777" w:rsidR="0042286C" w:rsidRPr="000453AD" w:rsidRDefault="0042286C" w:rsidP="00845310">
            <w:pPr>
              <w:rPr>
                <w:b/>
                <w:bCs/>
              </w:rPr>
            </w:pPr>
            <w:r w:rsidRPr="000453AD">
              <w:rPr>
                <w:b/>
                <w:bCs/>
              </w:rPr>
              <w:t>Preliminary</w:t>
            </w:r>
          </w:p>
        </w:tc>
        <w:tc>
          <w:tcPr>
            <w:tcW w:w="2070" w:type="dxa"/>
            <w:shd w:val="clear" w:color="auto" w:fill="8EAADB" w:themeFill="accent1" w:themeFillTint="99"/>
          </w:tcPr>
          <w:p w14:paraId="1387E37E" w14:textId="77777777" w:rsidR="0042286C" w:rsidRPr="000453AD" w:rsidRDefault="0042286C" w:rsidP="00845310">
            <w:pPr>
              <w:rPr>
                <w:b/>
                <w:bCs/>
              </w:rPr>
            </w:pPr>
            <w:r w:rsidRPr="000453AD">
              <w:rPr>
                <w:b/>
                <w:bCs/>
              </w:rPr>
              <w:t>Intermediate I.</w:t>
            </w:r>
          </w:p>
        </w:tc>
        <w:tc>
          <w:tcPr>
            <w:tcW w:w="2160" w:type="dxa"/>
            <w:shd w:val="clear" w:color="auto" w:fill="8EAADB" w:themeFill="accent1" w:themeFillTint="99"/>
          </w:tcPr>
          <w:p w14:paraId="5F2F06DA" w14:textId="77777777" w:rsidR="0042286C" w:rsidRPr="000453AD" w:rsidRDefault="0042286C" w:rsidP="00845310">
            <w:pPr>
              <w:rPr>
                <w:b/>
                <w:bCs/>
              </w:rPr>
            </w:pPr>
            <w:r w:rsidRPr="000453AD">
              <w:rPr>
                <w:b/>
                <w:bCs/>
              </w:rPr>
              <w:t>Intermediate II.</w:t>
            </w:r>
          </w:p>
        </w:tc>
        <w:tc>
          <w:tcPr>
            <w:tcW w:w="2430" w:type="dxa"/>
            <w:shd w:val="clear" w:color="auto" w:fill="8EAADB" w:themeFill="accent1" w:themeFillTint="99"/>
          </w:tcPr>
          <w:p w14:paraId="2A26CE3C" w14:textId="77777777" w:rsidR="0042286C" w:rsidRPr="005C14A9" w:rsidRDefault="0042286C" w:rsidP="00845310">
            <w:pPr>
              <w:rPr>
                <w:b/>
                <w:bCs/>
              </w:rPr>
            </w:pPr>
            <w:r w:rsidRPr="005C14A9">
              <w:rPr>
                <w:b/>
                <w:bCs/>
              </w:rPr>
              <w:t>Advanced</w:t>
            </w:r>
          </w:p>
        </w:tc>
        <w:tc>
          <w:tcPr>
            <w:tcW w:w="1350" w:type="dxa"/>
          </w:tcPr>
          <w:p w14:paraId="2DC2A2FF" w14:textId="77777777" w:rsidR="0042286C" w:rsidRPr="000453AD" w:rsidRDefault="0042286C" w:rsidP="00845310">
            <w:pPr>
              <w:rPr>
                <w:b/>
                <w:bCs/>
              </w:rPr>
            </w:pPr>
            <w:r w:rsidRPr="006870FB">
              <w:rPr>
                <w:b/>
                <w:bCs/>
                <w:sz w:val="20"/>
                <w:szCs w:val="20"/>
              </w:rPr>
              <w:t>Self-Assessed Level</w:t>
            </w:r>
          </w:p>
        </w:tc>
      </w:tr>
      <w:tr w:rsidR="0042286C" w:rsidRPr="00E337C0" w14:paraId="6337916C" w14:textId="77777777" w:rsidTr="0042286C">
        <w:tc>
          <w:tcPr>
            <w:tcW w:w="2070" w:type="dxa"/>
            <w:shd w:val="clear" w:color="auto" w:fill="F4B083" w:themeFill="accent2" w:themeFillTint="99"/>
          </w:tcPr>
          <w:p w14:paraId="6F7789CE" w14:textId="77777777" w:rsidR="006A62C7" w:rsidRPr="00CD4D00" w:rsidRDefault="006A62C7" w:rsidP="006A62C7">
            <w:pPr>
              <w:rPr>
                <w:sz w:val="18"/>
                <w:szCs w:val="18"/>
              </w:rPr>
            </w:pPr>
            <w:r w:rsidRPr="00CD4D00">
              <w:rPr>
                <w:sz w:val="18"/>
                <w:szCs w:val="18"/>
              </w:rPr>
              <w:t xml:space="preserve">2. Evidence based </w:t>
            </w:r>
          </w:p>
          <w:p w14:paraId="57EEA16A" w14:textId="77777777" w:rsidR="006A62C7" w:rsidRPr="00CD4D00" w:rsidRDefault="006A62C7" w:rsidP="006A62C7">
            <w:pPr>
              <w:rPr>
                <w:sz w:val="18"/>
                <w:szCs w:val="18"/>
              </w:rPr>
            </w:pPr>
            <w:r w:rsidRPr="00CD4D00">
              <w:rPr>
                <w:sz w:val="18"/>
                <w:szCs w:val="18"/>
              </w:rPr>
              <w:t>care for preventive</w:t>
            </w:r>
          </w:p>
          <w:p w14:paraId="78B349D4" w14:textId="77777777" w:rsidR="006A62C7" w:rsidRPr="00CD4D00" w:rsidRDefault="006A62C7" w:rsidP="006A62C7">
            <w:pPr>
              <w:rPr>
                <w:sz w:val="18"/>
                <w:szCs w:val="18"/>
              </w:rPr>
            </w:pPr>
            <w:r w:rsidRPr="00CD4D00">
              <w:rPr>
                <w:sz w:val="18"/>
                <w:szCs w:val="18"/>
              </w:rPr>
              <w:t>interventions</w:t>
            </w:r>
          </w:p>
          <w:p w14:paraId="712B4C31" w14:textId="1124408E" w:rsidR="0042286C" w:rsidRPr="00E337C0" w:rsidRDefault="006A62C7" w:rsidP="006A62C7">
            <w:pPr>
              <w:rPr>
                <w:b/>
                <w:bCs/>
                <w:sz w:val="18"/>
                <w:szCs w:val="18"/>
              </w:rPr>
            </w:pPr>
            <w:r w:rsidRPr="00CD4D00">
              <w:rPr>
                <w:sz w:val="18"/>
                <w:szCs w:val="18"/>
              </w:rPr>
              <w:t>and</w:t>
            </w:r>
            <w:r>
              <w:rPr>
                <w:sz w:val="18"/>
                <w:szCs w:val="18"/>
              </w:rPr>
              <w:t xml:space="preserve"> </w:t>
            </w:r>
            <w:r w:rsidRPr="00CD4D00">
              <w:rPr>
                <w:sz w:val="18"/>
                <w:szCs w:val="18"/>
              </w:rPr>
              <w:t>common</w:t>
            </w:r>
            <w:r>
              <w:rPr>
                <w:sz w:val="18"/>
                <w:szCs w:val="18"/>
              </w:rPr>
              <w:t xml:space="preserve"> </w:t>
            </w:r>
            <w:r w:rsidRPr="00CD4D00">
              <w:rPr>
                <w:sz w:val="18"/>
                <w:szCs w:val="18"/>
              </w:rPr>
              <w:t>chronic</w:t>
            </w:r>
            <w:r>
              <w:rPr>
                <w:sz w:val="18"/>
                <w:szCs w:val="18"/>
              </w:rPr>
              <w:t xml:space="preserve"> h</w:t>
            </w:r>
            <w:r w:rsidRPr="00CD4D00">
              <w:rPr>
                <w:sz w:val="18"/>
                <w:szCs w:val="18"/>
              </w:rPr>
              <w:t>ealth</w:t>
            </w:r>
            <w:r>
              <w:rPr>
                <w:sz w:val="18"/>
                <w:szCs w:val="18"/>
              </w:rPr>
              <w:t xml:space="preserve"> </w:t>
            </w:r>
            <w:r w:rsidRPr="00CD4D00">
              <w:rPr>
                <w:sz w:val="18"/>
                <w:szCs w:val="18"/>
              </w:rPr>
              <w:t>conditions</w:t>
            </w:r>
          </w:p>
        </w:tc>
        <w:tc>
          <w:tcPr>
            <w:tcW w:w="2340" w:type="dxa"/>
            <w:shd w:val="clear" w:color="auto" w:fill="F4B083" w:themeFill="accent2" w:themeFillTint="99"/>
          </w:tcPr>
          <w:p w14:paraId="2516D73C" w14:textId="22B5D0A1" w:rsidR="0042286C" w:rsidRPr="00E337C0" w:rsidRDefault="00FB5269" w:rsidP="00845310">
            <w:pPr>
              <w:rPr>
                <w:b/>
                <w:bCs/>
                <w:sz w:val="18"/>
                <w:szCs w:val="18"/>
              </w:rPr>
            </w:pPr>
            <w:r w:rsidRPr="00FB5269">
              <w:rPr>
                <w:sz w:val="18"/>
                <w:szCs w:val="18"/>
              </w:rPr>
              <w:t>2.2 Evidence-based guidelines or treatment protocols for chronic health conditions</w:t>
            </w:r>
          </w:p>
        </w:tc>
        <w:tc>
          <w:tcPr>
            <w:tcW w:w="2070" w:type="dxa"/>
            <w:shd w:val="clear" w:color="auto" w:fill="B4C6E7" w:themeFill="accent1" w:themeFillTint="66"/>
          </w:tcPr>
          <w:p w14:paraId="784BCDC5" w14:textId="0FD2DECB" w:rsidR="0042286C" w:rsidRPr="00E337C0" w:rsidRDefault="00733B5D" w:rsidP="00845310">
            <w:pPr>
              <w:rPr>
                <w:b/>
                <w:bCs/>
                <w:sz w:val="18"/>
                <w:szCs w:val="18"/>
              </w:rPr>
            </w:pPr>
            <w:r w:rsidRPr="00733B5D">
              <w:rPr>
                <w:sz w:val="18"/>
                <w:szCs w:val="18"/>
              </w:rPr>
              <w:t>Not used or with minimal guidelines or EB evidence-based workflows for improving access to care for</w:t>
            </w:r>
            <w:r>
              <w:rPr>
                <w:sz w:val="18"/>
                <w:szCs w:val="18"/>
              </w:rPr>
              <w:t xml:space="preserve"> </w:t>
            </w:r>
            <w:r w:rsidRPr="00733B5D">
              <w:rPr>
                <w:sz w:val="18"/>
                <w:szCs w:val="18"/>
              </w:rPr>
              <w:t>chronic health conditions.</w:t>
            </w:r>
          </w:p>
        </w:tc>
        <w:tc>
          <w:tcPr>
            <w:tcW w:w="2070" w:type="dxa"/>
            <w:shd w:val="clear" w:color="auto" w:fill="B4C6E7" w:themeFill="accent1" w:themeFillTint="66"/>
          </w:tcPr>
          <w:p w14:paraId="4EECECC3" w14:textId="76CAB1DB" w:rsidR="0042286C" w:rsidRPr="00E337C0" w:rsidRDefault="001E3925" w:rsidP="00845310">
            <w:pPr>
              <w:rPr>
                <w:b/>
                <w:bCs/>
                <w:sz w:val="18"/>
                <w:szCs w:val="18"/>
              </w:rPr>
            </w:pPr>
            <w:r w:rsidRPr="001E3925">
              <w:rPr>
                <w:sz w:val="18"/>
                <w:szCs w:val="18"/>
              </w:rPr>
              <w:t>Intermittent use of guidelines and/or evidence-based workflows of chronic health conditions with limited monitoring activities. BH staff and providers receive limited training on chronic health conditions.</w:t>
            </w:r>
          </w:p>
        </w:tc>
        <w:tc>
          <w:tcPr>
            <w:tcW w:w="2160" w:type="dxa"/>
            <w:shd w:val="clear" w:color="auto" w:fill="B4C6E7" w:themeFill="accent1" w:themeFillTint="66"/>
          </w:tcPr>
          <w:p w14:paraId="7243E501" w14:textId="6D0359AE" w:rsidR="0042286C" w:rsidRPr="00E337C0" w:rsidRDefault="00461716" w:rsidP="00845310">
            <w:pPr>
              <w:rPr>
                <w:b/>
                <w:bCs/>
                <w:sz w:val="18"/>
                <w:szCs w:val="18"/>
              </w:rPr>
            </w:pPr>
            <w:r w:rsidRPr="00461716">
              <w:rPr>
                <w:sz w:val="18"/>
                <w:szCs w:val="18"/>
              </w:rPr>
              <w:t>BH providers and/or embedded</w:t>
            </w:r>
            <w:r w:rsidRPr="00461716">
              <w:rPr>
                <w:rStyle w:val="EndnoteReference"/>
                <w:sz w:val="18"/>
                <w:szCs w:val="18"/>
              </w:rPr>
              <w:endnoteReference w:id="5"/>
            </w:r>
            <w:r w:rsidRPr="00461716">
              <w:rPr>
                <w:sz w:val="18"/>
                <w:szCs w:val="18"/>
              </w:rPr>
              <w:t xml:space="preserve"> PCP routine use of evidence-based guidelines or workflows for patients with chronic health conditions, including monitoring treatment measures and linkage/navigation to medical services when appropriate. BH staff receives routine training in basics of common chronic health conditions.</w:t>
            </w:r>
          </w:p>
        </w:tc>
        <w:tc>
          <w:tcPr>
            <w:tcW w:w="2430" w:type="dxa"/>
            <w:shd w:val="clear" w:color="auto" w:fill="B4C6E7" w:themeFill="accent1" w:themeFillTint="66"/>
          </w:tcPr>
          <w:p w14:paraId="31B55458" w14:textId="4273D82E" w:rsidR="0042286C" w:rsidRPr="00E337C0" w:rsidRDefault="008144EE" w:rsidP="00845310">
            <w:pPr>
              <w:rPr>
                <w:b/>
                <w:bCs/>
                <w:sz w:val="18"/>
                <w:szCs w:val="18"/>
              </w:rPr>
            </w:pPr>
            <w:r w:rsidRPr="008144EE">
              <w:rPr>
                <w:sz w:val="18"/>
                <w:szCs w:val="18"/>
              </w:rPr>
              <w:t>Use clinical decision-support tools (embedded in EHR) with point of service guidance on active clinical management for BH providers and/or embedded PCPs for patients with chronic health conditions.</w:t>
            </w:r>
          </w:p>
        </w:tc>
        <w:tc>
          <w:tcPr>
            <w:tcW w:w="1350" w:type="dxa"/>
          </w:tcPr>
          <w:p w14:paraId="14718CE9" w14:textId="77777777" w:rsidR="0042286C" w:rsidRPr="00E337C0" w:rsidRDefault="0042286C" w:rsidP="00845310">
            <w:pPr>
              <w:rPr>
                <w:b/>
                <w:bCs/>
                <w:sz w:val="18"/>
                <w:szCs w:val="18"/>
              </w:rPr>
            </w:pPr>
          </w:p>
        </w:tc>
      </w:tr>
    </w:tbl>
    <w:p w14:paraId="0906C433"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65D2C0B6" w14:textId="77777777" w:rsidR="009D2493" w:rsidRDefault="009D2493" w:rsidP="009D2493">
      <w:pPr>
        <w:rPr>
          <w:b/>
          <w:bCs/>
        </w:rPr>
      </w:pPr>
    </w:p>
    <w:p w14:paraId="6137F635" w14:textId="77777777" w:rsidR="009D2493" w:rsidRPr="009827F6" w:rsidRDefault="009D2493" w:rsidP="009D2493">
      <w:r>
        <w:t>15.</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8144EE" w:rsidRPr="000453AD" w14:paraId="11AA4060" w14:textId="77777777" w:rsidTr="008144EE">
        <w:tc>
          <w:tcPr>
            <w:tcW w:w="2160" w:type="dxa"/>
            <w:shd w:val="clear" w:color="auto" w:fill="ED7D31" w:themeFill="accent2"/>
          </w:tcPr>
          <w:p w14:paraId="3B871EC4" w14:textId="77777777" w:rsidR="008144EE" w:rsidRPr="000453AD" w:rsidRDefault="008144EE" w:rsidP="00845310">
            <w:pPr>
              <w:rPr>
                <w:b/>
                <w:bCs/>
              </w:rPr>
            </w:pPr>
            <w:r w:rsidRPr="000453AD">
              <w:rPr>
                <w:b/>
                <w:bCs/>
              </w:rPr>
              <w:t xml:space="preserve">Key Domains of Integrated Care </w:t>
            </w:r>
          </w:p>
        </w:tc>
        <w:tc>
          <w:tcPr>
            <w:tcW w:w="2250" w:type="dxa"/>
            <w:shd w:val="clear" w:color="auto" w:fill="ED7D31" w:themeFill="accent2"/>
          </w:tcPr>
          <w:p w14:paraId="49B40F9B" w14:textId="77777777" w:rsidR="008144EE" w:rsidRPr="000453AD" w:rsidRDefault="008144EE" w:rsidP="00845310">
            <w:pPr>
              <w:rPr>
                <w:b/>
                <w:bCs/>
              </w:rPr>
            </w:pPr>
            <w:r>
              <w:rPr>
                <w:b/>
                <w:bCs/>
              </w:rPr>
              <w:t>Sub-Domain</w:t>
            </w:r>
          </w:p>
        </w:tc>
        <w:tc>
          <w:tcPr>
            <w:tcW w:w="2070" w:type="dxa"/>
            <w:shd w:val="clear" w:color="auto" w:fill="8EAADB" w:themeFill="accent1" w:themeFillTint="99"/>
          </w:tcPr>
          <w:p w14:paraId="1BC79550" w14:textId="77777777" w:rsidR="008144EE" w:rsidRPr="000453AD" w:rsidRDefault="008144EE" w:rsidP="00845310">
            <w:pPr>
              <w:rPr>
                <w:b/>
                <w:bCs/>
              </w:rPr>
            </w:pPr>
            <w:r w:rsidRPr="000453AD">
              <w:rPr>
                <w:b/>
                <w:bCs/>
              </w:rPr>
              <w:t>Preliminary</w:t>
            </w:r>
          </w:p>
        </w:tc>
        <w:tc>
          <w:tcPr>
            <w:tcW w:w="2070" w:type="dxa"/>
            <w:shd w:val="clear" w:color="auto" w:fill="8EAADB" w:themeFill="accent1" w:themeFillTint="99"/>
          </w:tcPr>
          <w:p w14:paraId="52B7D608" w14:textId="77777777" w:rsidR="008144EE" w:rsidRPr="000453AD" w:rsidRDefault="008144EE" w:rsidP="00845310">
            <w:pPr>
              <w:rPr>
                <w:b/>
                <w:bCs/>
              </w:rPr>
            </w:pPr>
            <w:r w:rsidRPr="000453AD">
              <w:rPr>
                <w:b/>
                <w:bCs/>
              </w:rPr>
              <w:t>Intermediate I.</w:t>
            </w:r>
          </w:p>
        </w:tc>
        <w:tc>
          <w:tcPr>
            <w:tcW w:w="2160" w:type="dxa"/>
            <w:shd w:val="clear" w:color="auto" w:fill="8EAADB" w:themeFill="accent1" w:themeFillTint="99"/>
          </w:tcPr>
          <w:p w14:paraId="719AE50B" w14:textId="77777777" w:rsidR="008144EE" w:rsidRPr="000453AD" w:rsidRDefault="008144EE" w:rsidP="00845310">
            <w:pPr>
              <w:rPr>
                <w:b/>
                <w:bCs/>
              </w:rPr>
            </w:pPr>
            <w:r w:rsidRPr="000453AD">
              <w:rPr>
                <w:b/>
                <w:bCs/>
              </w:rPr>
              <w:t>Intermediate II.</w:t>
            </w:r>
          </w:p>
        </w:tc>
        <w:tc>
          <w:tcPr>
            <w:tcW w:w="2430" w:type="dxa"/>
            <w:shd w:val="clear" w:color="auto" w:fill="8EAADB" w:themeFill="accent1" w:themeFillTint="99"/>
          </w:tcPr>
          <w:p w14:paraId="5E51C5AA" w14:textId="77777777" w:rsidR="008144EE" w:rsidRPr="005C14A9" w:rsidRDefault="008144EE" w:rsidP="00845310">
            <w:pPr>
              <w:rPr>
                <w:b/>
                <w:bCs/>
              </w:rPr>
            </w:pPr>
            <w:r w:rsidRPr="005C14A9">
              <w:rPr>
                <w:b/>
                <w:bCs/>
              </w:rPr>
              <w:t>Advanced</w:t>
            </w:r>
          </w:p>
        </w:tc>
        <w:tc>
          <w:tcPr>
            <w:tcW w:w="1350" w:type="dxa"/>
          </w:tcPr>
          <w:p w14:paraId="0218EF8A" w14:textId="77777777" w:rsidR="008144EE" w:rsidRPr="000453AD" w:rsidRDefault="008144EE" w:rsidP="00845310">
            <w:pPr>
              <w:rPr>
                <w:b/>
                <w:bCs/>
              </w:rPr>
            </w:pPr>
            <w:r w:rsidRPr="006870FB">
              <w:rPr>
                <w:b/>
                <w:bCs/>
                <w:sz w:val="20"/>
                <w:szCs w:val="20"/>
              </w:rPr>
              <w:t>Self-Assessed Level</w:t>
            </w:r>
          </w:p>
        </w:tc>
      </w:tr>
      <w:tr w:rsidR="008144EE" w:rsidRPr="00E337C0" w14:paraId="43436E07" w14:textId="77777777" w:rsidTr="008144EE">
        <w:tc>
          <w:tcPr>
            <w:tcW w:w="2160" w:type="dxa"/>
            <w:shd w:val="clear" w:color="auto" w:fill="F4B083" w:themeFill="accent2" w:themeFillTint="99"/>
          </w:tcPr>
          <w:p w14:paraId="77EA1EB9" w14:textId="77777777" w:rsidR="002768D9" w:rsidRPr="00CD4D00" w:rsidRDefault="002768D9" w:rsidP="002768D9">
            <w:pPr>
              <w:rPr>
                <w:sz w:val="18"/>
                <w:szCs w:val="18"/>
              </w:rPr>
            </w:pPr>
            <w:r w:rsidRPr="00CD4D00">
              <w:rPr>
                <w:sz w:val="18"/>
                <w:szCs w:val="18"/>
              </w:rPr>
              <w:lastRenderedPageBreak/>
              <w:t xml:space="preserve">2. Evidence based </w:t>
            </w:r>
          </w:p>
          <w:p w14:paraId="6BA98662" w14:textId="77777777" w:rsidR="002768D9" w:rsidRPr="00CD4D00" w:rsidRDefault="002768D9" w:rsidP="002768D9">
            <w:pPr>
              <w:rPr>
                <w:sz w:val="18"/>
                <w:szCs w:val="18"/>
              </w:rPr>
            </w:pPr>
            <w:r w:rsidRPr="00CD4D00">
              <w:rPr>
                <w:sz w:val="18"/>
                <w:szCs w:val="18"/>
              </w:rPr>
              <w:t>care for preventive</w:t>
            </w:r>
          </w:p>
          <w:p w14:paraId="61953C16" w14:textId="77777777" w:rsidR="002768D9" w:rsidRPr="00CD4D00" w:rsidRDefault="002768D9" w:rsidP="002768D9">
            <w:pPr>
              <w:rPr>
                <w:sz w:val="18"/>
                <w:szCs w:val="18"/>
              </w:rPr>
            </w:pPr>
            <w:r w:rsidRPr="00CD4D00">
              <w:rPr>
                <w:sz w:val="18"/>
                <w:szCs w:val="18"/>
              </w:rPr>
              <w:t>interventions</w:t>
            </w:r>
          </w:p>
          <w:p w14:paraId="5809176C" w14:textId="352EF3C8" w:rsidR="008144EE" w:rsidRPr="00E337C0" w:rsidRDefault="002768D9" w:rsidP="002768D9">
            <w:pPr>
              <w:rPr>
                <w:b/>
                <w:bCs/>
                <w:sz w:val="18"/>
                <w:szCs w:val="18"/>
              </w:rPr>
            </w:pPr>
            <w:r w:rsidRPr="00CD4D00">
              <w:rPr>
                <w:sz w:val="18"/>
                <w:szCs w:val="18"/>
              </w:rPr>
              <w:t>and</w:t>
            </w:r>
            <w:r>
              <w:rPr>
                <w:sz w:val="18"/>
                <w:szCs w:val="18"/>
              </w:rPr>
              <w:t xml:space="preserve"> </w:t>
            </w:r>
            <w:r w:rsidRPr="00CD4D00">
              <w:rPr>
                <w:sz w:val="18"/>
                <w:szCs w:val="18"/>
              </w:rPr>
              <w:t>common</w:t>
            </w:r>
            <w:r>
              <w:rPr>
                <w:sz w:val="18"/>
                <w:szCs w:val="18"/>
              </w:rPr>
              <w:t xml:space="preserve"> </w:t>
            </w:r>
            <w:r w:rsidRPr="00CD4D00">
              <w:rPr>
                <w:sz w:val="18"/>
                <w:szCs w:val="18"/>
              </w:rPr>
              <w:t>chronic</w:t>
            </w:r>
            <w:r>
              <w:rPr>
                <w:sz w:val="18"/>
                <w:szCs w:val="18"/>
              </w:rPr>
              <w:t xml:space="preserve"> h</w:t>
            </w:r>
            <w:r w:rsidRPr="00CD4D00">
              <w:rPr>
                <w:sz w:val="18"/>
                <w:szCs w:val="18"/>
              </w:rPr>
              <w:t>ealth</w:t>
            </w:r>
            <w:r>
              <w:rPr>
                <w:sz w:val="18"/>
                <w:szCs w:val="18"/>
              </w:rPr>
              <w:t xml:space="preserve"> </w:t>
            </w:r>
            <w:r w:rsidRPr="00CD4D00">
              <w:rPr>
                <w:sz w:val="18"/>
                <w:szCs w:val="18"/>
              </w:rPr>
              <w:t>conditions</w:t>
            </w:r>
          </w:p>
        </w:tc>
        <w:tc>
          <w:tcPr>
            <w:tcW w:w="2250" w:type="dxa"/>
            <w:shd w:val="clear" w:color="auto" w:fill="F4B083" w:themeFill="accent2" w:themeFillTint="99"/>
          </w:tcPr>
          <w:p w14:paraId="6FD46FFC" w14:textId="2BAB0B49" w:rsidR="008144EE" w:rsidRPr="00E337C0" w:rsidRDefault="002E67B3" w:rsidP="00845310">
            <w:pPr>
              <w:rPr>
                <w:b/>
                <w:bCs/>
                <w:sz w:val="18"/>
                <w:szCs w:val="18"/>
              </w:rPr>
            </w:pPr>
            <w:r w:rsidRPr="002E67B3">
              <w:rPr>
                <w:sz w:val="18"/>
                <w:szCs w:val="18"/>
              </w:rPr>
              <w:t>2.3 Use of medications by BH prescribers for preventive and chronic health conditions</w:t>
            </w:r>
          </w:p>
        </w:tc>
        <w:tc>
          <w:tcPr>
            <w:tcW w:w="2070" w:type="dxa"/>
            <w:shd w:val="clear" w:color="auto" w:fill="B4C6E7" w:themeFill="accent1" w:themeFillTint="66"/>
          </w:tcPr>
          <w:p w14:paraId="43D90A03" w14:textId="793C7C68" w:rsidR="008144EE" w:rsidRPr="00E337C0" w:rsidRDefault="00B14D88" w:rsidP="00845310">
            <w:pPr>
              <w:rPr>
                <w:b/>
                <w:bCs/>
                <w:sz w:val="18"/>
                <w:szCs w:val="18"/>
              </w:rPr>
            </w:pPr>
            <w:r w:rsidRPr="00B14D88">
              <w:rPr>
                <w:sz w:val="18"/>
                <w:szCs w:val="18"/>
              </w:rPr>
              <w:t>None or very limited use of non-psychiatric medications by BH prescribers. Non-psychiatric medication concerns are primarily referred to primary care clinicians to manage.</w:t>
            </w:r>
          </w:p>
        </w:tc>
        <w:tc>
          <w:tcPr>
            <w:tcW w:w="2070" w:type="dxa"/>
            <w:shd w:val="clear" w:color="auto" w:fill="B4C6E7" w:themeFill="accent1" w:themeFillTint="66"/>
          </w:tcPr>
          <w:p w14:paraId="7861EB7B" w14:textId="75162E59" w:rsidR="008144EE" w:rsidRPr="00E337C0" w:rsidRDefault="007644FF" w:rsidP="00845310">
            <w:pPr>
              <w:rPr>
                <w:b/>
                <w:bCs/>
                <w:sz w:val="18"/>
                <w:szCs w:val="18"/>
              </w:rPr>
            </w:pPr>
            <w:r w:rsidRPr="007644FF">
              <w:rPr>
                <w:sz w:val="18"/>
                <w:szCs w:val="18"/>
              </w:rPr>
              <w:t>BH prescriber routinely prescribes nicotine replacement therapy (NRT) or other psychiatric medications for smoking reduction.</w:t>
            </w:r>
          </w:p>
        </w:tc>
        <w:tc>
          <w:tcPr>
            <w:tcW w:w="2160" w:type="dxa"/>
            <w:shd w:val="clear" w:color="auto" w:fill="B4C6E7" w:themeFill="accent1" w:themeFillTint="66"/>
          </w:tcPr>
          <w:p w14:paraId="5F93B815" w14:textId="0569FAB7" w:rsidR="008144EE" w:rsidRPr="00E337C0" w:rsidRDefault="008310DC" w:rsidP="00845310">
            <w:pPr>
              <w:rPr>
                <w:b/>
                <w:bCs/>
                <w:sz w:val="18"/>
                <w:szCs w:val="18"/>
              </w:rPr>
            </w:pPr>
            <w:r w:rsidRPr="008310DC">
              <w:rPr>
                <w:sz w:val="18"/>
                <w:szCs w:val="18"/>
              </w:rPr>
              <w:t>BH prescriber routinely prescribes smoking cessation as previously. May occasionally make minor adjustments to medications for chronic health conditions when indicated, keeping PCP informed when doing so.</w:t>
            </w:r>
          </w:p>
        </w:tc>
        <w:tc>
          <w:tcPr>
            <w:tcW w:w="2430" w:type="dxa"/>
            <w:shd w:val="clear" w:color="auto" w:fill="B4C6E7" w:themeFill="accent1" w:themeFillTint="66"/>
          </w:tcPr>
          <w:p w14:paraId="4109D4C5" w14:textId="0C994645" w:rsidR="008144EE" w:rsidRPr="00E337C0" w:rsidRDefault="004511AA" w:rsidP="00845310">
            <w:pPr>
              <w:rPr>
                <w:b/>
                <w:bCs/>
                <w:sz w:val="18"/>
                <w:szCs w:val="18"/>
              </w:rPr>
            </w:pPr>
            <w:r w:rsidRPr="004511AA">
              <w:rPr>
                <w:sz w:val="18"/>
                <w:szCs w:val="18"/>
              </w:rPr>
              <w:t>BH prescriber can prescribe NRT as well as prescribe chronic health medications with assistance and consultation of PCP.</w:t>
            </w:r>
          </w:p>
        </w:tc>
        <w:tc>
          <w:tcPr>
            <w:tcW w:w="1350" w:type="dxa"/>
          </w:tcPr>
          <w:p w14:paraId="31346CEC" w14:textId="77777777" w:rsidR="008144EE" w:rsidRPr="00E337C0" w:rsidRDefault="008144EE" w:rsidP="00845310">
            <w:pPr>
              <w:rPr>
                <w:b/>
                <w:bCs/>
                <w:sz w:val="18"/>
                <w:szCs w:val="18"/>
              </w:rPr>
            </w:pPr>
          </w:p>
        </w:tc>
      </w:tr>
    </w:tbl>
    <w:p w14:paraId="4500F101"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0CE0E9A6" w14:textId="77777777" w:rsidR="009D2493" w:rsidRDefault="009D2493" w:rsidP="009D2493">
      <w:pPr>
        <w:rPr>
          <w:b/>
          <w:bCs/>
        </w:rPr>
      </w:pPr>
    </w:p>
    <w:p w14:paraId="2B703662" w14:textId="77777777" w:rsidR="009D2493" w:rsidRPr="009827F6" w:rsidRDefault="009D2493" w:rsidP="009D2493">
      <w:r>
        <w:t>16.</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4511AA" w:rsidRPr="000453AD" w14:paraId="18BF3F1F" w14:textId="77777777" w:rsidTr="004511AA">
        <w:tc>
          <w:tcPr>
            <w:tcW w:w="2160" w:type="dxa"/>
            <w:shd w:val="clear" w:color="auto" w:fill="ED7D31" w:themeFill="accent2"/>
          </w:tcPr>
          <w:p w14:paraId="47478D67" w14:textId="77777777" w:rsidR="004511AA" w:rsidRPr="000453AD" w:rsidRDefault="004511AA" w:rsidP="00845310">
            <w:pPr>
              <w:rPr>
                <w:b/>
                <w:bCs/>
              </w:rPr>
            </w:pPr>
            <w:r w:rsidRPr="000453AD">
              <w:rPr>
                <w:b/>
                <w:bCs/>
              </w:rPr>
              <w:t xml:space="preserve">Key Domains of Integrated Care </w:t>
            </w:r>
          </w:p>
        </w:tc>
        <w:tc>
          <w:tcPr>
            <w:tcW w:w="2250" w:type="dxa"/>
            <w:shd w:val="clear" w:color="auto" w:fill="ED7D31" w:themeFill="accent2"/>
          </w:tcPr>
          <w:p w14:paraId="1F089105" w14:textId="77777777" w:rsidR="004511AA" w:rsidRPr="000453AD" w:rsidRDefault="004511AA" w:rsidP="00845310">
            <w:pPr>
              <w:rPr>
                <w:b/>
                <w:bCs/>
              </w:rPr>
            </w:pPr>
            <w:r>
              <w:rPr>
                <w:b/>
                <w:bCs/>
              </w:rPr>
              <w:t>Sub-Domain</w:t>
            </w:r>
          </w:p>
        </w:tc>
        <w:tc>
          <w:tcPr>
            <w:tcW w:w="2070" w:type="dxa"/>
            <w:shd w:val="clear" w:color="auto" w:fill="8EAADB" w:themeFill="accent1" w:themeFillTint="99"/>
          </w:tcPr>
          <w:p w14:paraId="26B0362C" w14:textId="77777777" w:rsidR="004511AA" w:rsidRPr="000453AD" w:rsidRDefault="004511AA" w:rsidP="00845310">
            <w:pPr>
              <w:rPr>
                <w:b/>
                <w:bCs/>
              </w:rPr>
            </w:pPr>
            <w:r w:rsidRPr="000453AD">
              <w:rPr>
                <w:b/>
                <w:bCs/>
              </w:rPr>
              <w:t>Preliminary</w:t>
            </w:r>
          </w:p>
        </w:tc>
        <w:tc>
          <w:tcPr>
            <w:tcW w:w="2070" w:type="dxa"/>
            <w:shd w:val="clear" w:color="auto" w:fill="8EAADB" w:themeFill="accent1" w:themeFillTint="99"/>
          </w:tcPr>
          <w:p w14:paraId="511B0927" w14:textId="77777777" w:rsidR="004511AA" w:rsidRPr="000453AD" w:rsidRDefault="004511AA" w:rsidP="00845310">
            <w:pPr>
              <w:rPr>
                <w:b/>
                <w:bCs/>
              </w:rPr>
            </w:pPr>
            <w:r w:rsidRPr="000453AD">
              <w:rPr>
                <w:b/>
                <w:bCs/>
              </w:rPr>
              <w:t>Intermediate I.</w:t>
            </w:r>
          </w:p>
        </w:tc>
        <w:tc>
          <w:tcPr>
            <w:tcW w:w="2160" w:type="dxa"/>
            <w:shd w:val="clear" w:color="auto" w:fill="8EAADB" w:themeFill="accent1" w:themeFillTint="99"/>
          </w:tcPr>
          <w:p w14:paraId="153B0ED6" w14:textId="77777777" w:rsidR="004511AA" w:rsidRPr="000453AD" w:rsidRDefault="004511AA" w:rsidP="00845310">
            <w:pPr>
              <w:rPr>
                <w:b/>
                <w:bCs/>
              </w:rPr>
            </w:pPr>
            <w:r w:rsidRPr="000453AD">
              <w:rPr>
                <w:b/>
                <w:bCs/>
              </w:rPr>
              <w:t>Intermediate II.</w:t>
            </w:r>
          </w:p>
        </w:tc>
        <w:tc>
          <w:tcPr>
            <w:tcW w:w="2430" w:type="dxa"/>
            <w:shd w:val="clear" w:color="auto" w:fill="8EAADB" w:themeFill="accent1" w:themeFillTint="99"/>
          </w:tcPr>
          <w:p w14:paraId="15B4F047" w14:textId="77777777" w:rsidR="004511AA" w:rsidRPr="005C14A9" w:rsidRDefault="004511AA" w:rsidP="00845310">
            <w:pPr>
              <w:rPr>
                <w:b/>
                <w:bCs/>
              </w:rPr>
            </w:pPr>
            <w:r w:rsidRPr="005C14A9">
              <w:rPr>
                <w:b/>
                <w:bCs/>
              </w:rPr>
              <w:t>Advanced</w:t>
            </w:r>
          </w:p>
        </w:tc>
        <w:tc>
          <w:tcPr>
            <w:tcW w:w="1350" w:type="dxa"/>
          </w:tcPr>
          <w:p w14:paraId="597280AC" w14:textId="77777777" w:rsidR="004511AA" w:rsidRPr="000453AD" w:rsidRDefault="004511AA" w:rsidP="00845310">
            <w:pPr>
              <w:rPr>
                <w:b/>
                <w:bCs/>
              </w:rPr>
            </w:pPr>
            <w:r w:rsidRPr="006870FB">
              <w:rPr>
                <w:b/>
                <w:bCs/>
                <w:sz w:val="20"/>
                <w:szCs w:val="20"/>
              </w:rPr>
              <w:t>Self-Assessed Level</w:t>
            </w:r>
          </w:p>
        </w:tc>
      </w:tr>
      <w:tr w:rsidR="00E65E5C" w:rsidRPr="00E337C0" w14:paraId="7A965B55" w14:textId="77777777" w:rsidTr="004511AA">
        <w:tc>
          <w:tcPr>
            <w:tcW w:w="2160" w:type="dxa"/>
            <w:shd w:val="clear" w:color="auto" w:fill="F4B083" w:themeFill="accent2" w:themeFillTint="99"/>
          </w:tcPr>
          <w:p w14:paraId="2758210A" w14:textId="77777777" w:rsidR="00E65E5C" w:rsidRPr="00CD4D00" w:rsidRDefault="00E65E5C" w:rsidP="00E65E5C">
            <w:pPr>
              <w:rPr>
                <w:sz w:val="18"/>
                <w:szCs w:val="18"/>
              </w:rPr>
            </w:pPr>
            <w:r w:rsidRPr="00CD4D00">
              <w:rPr>
                <w:sz w:val="18"/>
                <w:szCs w:val="18"/>
              </w:rPr>
              <w:t xml:space="preserve">2. Evidence based </w:t>
            </w:r>
          </w:p>
          <w:p w14:paraId="7AF840E4" w14:textId="77777777" w:rsidR="00E65E5C" w:rsidRPr="00CD4D00" w:rsidRDefault="00E65E5C" w:rsidP="00E65E5C">
            <w:pPr>
              <w:rPr>
                <w:sz w:val="18"/>
                <w:szCs w:val="18"/>
              </w:rPr>
            </w:pPr>
            <w:r w:rsidRPr="00CD4D00">
              <w:rPr>
                <w:sz w:val="18"/>
                <w:szCs w:val="18"/>
              </w:rPr>
              <w:t>care for preventive</w:t>
            </w:r>
          </w:p>
          <w:p w14:paraId="20DE56E1" w14:textId="77777777" w:rsidR="00E65E5C" w:rsidRPr="00CD4D00" w:rsidRDefault="00E65E5C" w:rsidP="00E65E5C">
            <w:pPr>
              <w:rPr>
                <w:sz w:val="18"/>
                <w:szCs w:val="18"/>
              </w:rPr>
            </w:pPr>
            <w:r w:rsidRPr="00CD4D00">
              <w:rPr>
                <w:sz w:val="18"/>
                <w:szCs w:val="18"/>
              </w:rPr>
              <w:t>interventions</w:t>
            </w:r>
          </w:p>
          <w:p w14:paraId="26BB361B" w14:textId="0CB7A685" w:rsidR="00E65E5C" w:rsidRPr="00E337C0" w:rsidRDefault="00E65E5C" w:rsidP="00E65E5C">
            <w:pPr>
              <w:rPr>
                <w:b/>
                <w:bCs/>
                <w:sz w:val="18"/>
                <w:szCs w:val="18"/>
              </w:rPr>
            </w:pPr>
            <w:r w:rsidRPr="00CD4D00">
              <w:rPr>
                <w:sz w:val="18"/>
                <w:szCs w:val="18"/>
              </w:rPr>
              <w:t>and</w:t>
            </w:r>
            <w:r>
              <w:rPr>
                <w:sz w:val="18"/>
                <w:szCs w:val="18"/>
              </w:rPr>
              <w:t xml:space="preserve"> </w:t>
            </w:r>
            <w:r w:rsidRPr="00CD4D00">
              <w:rPr>
                <w:sz w:val="18"/>
                <w:szCs w:val="18"/>
              </w:rPr>
              <w:t>common</w:t>
            </w:r>
            <w:r>
              <w:rPr>
                <w:sz w:val="18"/>
                <w:szCs w:val="18"/>
              </w:rPr>
              <w:t xml:space="preserve"> </w:t>
            </w:r>
            <w:r w:rsidRPr="00CD4D00">
              <w:rPr>
                <w:sz w:val="18"/>
                <w:szCs w:val="18"/>
              </w:rPr>
              <w:t>chronic</w:t>
            </w:r>
            <w:r>
              <w:rPr>
                <w:sz w:val="18"/>
                <w:szCs w:val="18"/>
              </w:rPr>
              <w:t xml:space="preserve"> h</w:t>
            </w:r>
            <w:r w:rsidRPr="00CD4D00">
              <w:rPr>
                <w:sz w:val="18"/>
                <w:szCs w:val="18"/>
              </w:rPr>
              <w:t>ealth</w:t>
            </w:r>
            <w:r>
              <w:rPr>
                <w:sz w:val="18"/>
                <w:szCs w:val="18"/>
              </w:rPr>
              <w:t xml:space="preserve"> </w:t>
            </w:r>
            <w:r w:rsidRPr="00CD4D00">
              <w:rPr>
                <w:sz w:val="18"/>
                <w:szCs w:val="18"/>
              </w:rPr>
              <w:t>conditions</w:t>
            </w:r>
          </w:p>
        </w:tc>
        <w:tc>
          <w:tcPr>
            <w:tcW w:w="2250" w:type="dxa"/>
            <w:shd w:val="clear" w:color="auto" w:fill="F4B083" w:themeFill="accent2" w:themeFillTint="99"/>
          </w:tcPr>
          <w:p w14:paraId="7717788E" w14:textId="147C5A64" w:rsidR="00E65E5C" w:rsidRPr="0026544A" w:rsidRDefault="00E65E5C" w:rsidP="00E65E5C">
            <w:pPr>
              <w:rPr>
                <w:sz w:val="18"/>
                <w:szCs w:val="18"/>
              </w:rPr>
            </w:pPr>
            <w:r w:rsidRPr="00F000CB">
              <w:rPr>
                <w:sz w:val="18"/>
                <w:szCs w:val="18"/>
              </w:rPr>
              <w:t>2.4 Trauma-informed care</w:t>
            </w:r>
          </w:p>
        </w:tc>
        <w:tc>
          <w:tcPr>
            <w:tcW w:w="2070" w:type="dxa"/>
            <w:shd w:val="clear" w:color="auto" w:fill="B4C6E7" w:themeFill="accent1" w:themeFillTint="66"/>
          </w:tcPr>
          <w:p w14:paraId="5A78DC1E" w14:textId="3CDF4151" w:rsidR="00E65E5C" w:rsidRPr="00E337C0" w:rsidRDefault="00E65E5C" w:rsidP="00E65E5C">
            <w:pPr>
              <w:rPr>
                <w:b/>
                <w:bCs/>
                <w:sz w:val="18"/>
                <w:szCs w:val="18"/>
              </w:rPr>
            </w:pPr>
            <w:r w:rsidRPr="003F10BF">
              <w:rPr>
                <w:sz w:val="18"/>
                <w:szCs w:val="18"/>
              </w:rPr>
              <w:t>BH staff have no or minimal awareness of effects of trauma on integrated health care.</w:t>
            </w:r>
          </w:p>
        </w:tc>
        <w:tc>
          <w:tcPr>
            <w:tcW w:w="2070" w:type="dxa"/>
            <w:shd w:val="clear" w:color="auto" w:fill="B4C6E7" w:themeFill="accent1" w:themeFillTint="66"/>
          </w:tcPr>
          <w:p w14:paraId="69A1408A" w14:textId="5C956ED7" w:rsidR="00E65E5C" w:rsidRPr="00E337C0" w:rsidRDefault="00E65E5C" w:rsidP="00E65E5C">
            <w:pPr>
              <w:rPr>
                <w:b/>
                <w:bCs/>
                <w:sz w:val="18"/>
                <w:szCs w:val="18"/>
              </w:rPr>
            </w:pPr>
            <w:r w:rsidRPr="00963BF6">
              <w:rPr>
                <w:sz w:val="18"/>
                <w:szCs w:val="18"/>
              </w:rPr>
              <w:t>Limited staff education on trauma and impact on BH and general health care.</w:t>
            </w:r>
          </w:p>
        </w:tc>
        <w:tc>
          <w:tcPr>
            <w:tcW w:w="2160" w:type="dxa"/>
            <w:shd w:val="clear" w:color="auto" w:fill="B4C6E7" w:themeFill="accent1" w:themeFillTint="66"/>
          </w:tcPr>
          <w:p w14:paraId="6A35DF92" w14:textId="274C59EC" w:rsidR="00E65E5C" w:rsidRPr="00E337C0" w:rsidRDefault="00E65E5C" w:rsidP="00E65E5C">
            <w:pPr>
              <w:rPr>
                <w:b/>
                <w:bCs/>
                <w:sz w:val="18"/>
                <w:szCs w:val="18"/>
              </w:rPr>
            </w:pPr>
            <w:r w:rsidRPr="00C05A91">
              <w:rPr>
                <w:sz w:val="18"/>
                <w:szCs w:val="18"/>
              </w:rPr>
              <w:t>Routine staff education on trauma-informed care model including strategies for managing risk of re-traumatizing. Limited use of validated screening measures for trauma when indicated.</w:t>
            </w:r>
          </w:p>
        </w:tc>
        <w:tc>
          <w:tcPr>
            <w:tcW w:w="2430" w:type="dxa"/>
            <w:shd w:val="clear" w:color="auto" w:fill="B4C6E7" w:themeFill="accent1" w:themeFillTint="66"/>
          </w:tcPr>
          <w:p w14:paraId="2FCEE464" w14:textId="677ABDA9" w:rsidR="00E65E5C" w:rsidRPr="00E65E5C" w:rsidRDefault="00E65E5C" w:rsidP="00E65E5C">
            <w:pPr>
              <w:rPr>
                <w:b/>
                <w:bCs/>
                <w:sz w:val="18"/>
                <w:szCs w:val="18"/>
              </w:rPr>
            </w:pPr>
            <w:r w:rsidRPr="00E65E5C">
              <w:rPr>
                <w:sz w:val="18"/>
                <w:szCs w:val="18"/>
              </w:rPr>
              <w:t>Adoption of trauma-informed care strategies, treatment and protocols by BH clinic for staff at all levels to promote resilience and address re-traumatizing and de-escalation procedures. Routine use of validated trauma assessment tools such as adverse childhood experiences (ACES) and PTSD checklist (PCL-C) when indicated.</w:t>
            </w:r>
          </w:p>
        </w:tc>
        <w:tc>
          <w:tcPr>
            <w:tcW w:w="1350" w:type="dxa"/>
          </w:tcPr>
          <w:p w14:paraId="2F1CAFF0" w14:textId="77777777" w:rsidR="00E65E5C" w:rsidRPr="00E337C0" w:rsidRDefault="00E65E5C" w:rsidP="00E65E5C">
            <w:pPr>
              <w:rPr>
                <w:b/>
                <w:bCs/>
                <w:sz w:val="18"/>
                <w:szCs w:val="18"/>
              </w:rPr>
            </w:pPr>
          </w:p>
        </w:tc>
      </w:tr>
    </w:tbl>
    <w:p w14:paraId="0BC29234"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753AC137" w14:textId="77777777" w:rsidR="009D2493" w:rsidRDefault="009D2493" w:rsidP="009D2493">
      <w:pPr>
        <w:rPr>
          <w:b/>
          <w:bCs/>
        </w:rPr>
      </w:pPr>
    </w:p>
    <w:p w14:paraId="6A134633" w14:textId="77777777" w:rsidR="009D2493" w:rsidRPr="009827F6" w:rsidRDefault="009D2493" w:rsidP="009D2493">
      <w:r>
        <w:t>17.</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E65E5C" w:rsidRPr="000453AD" w14:paraId="620E0011" w14:textId="77777777" w:rsidTr="00E65E5C">
        <w:tc>
          <w:tcPr>
            <w:tcW w:w="2160" w:type="dxa"/>
            <w:shd w:val="clear" w:color="auto" w:fill="ED7D31" w:themeFill="accent2"/>
          </w:tcPr>
          <w:p w14:paraId="3F68E643" w14:textId="77777777" w:rsidR="00E65E5C" w:rsidRPr="000453AD" w:rsidRDefault="00E65E5C" w:rsidP="00845310">
            <w:pPr>
              <w:rPr>
                <w:b/>
                <w:bCs/>
              </w:rPr>
            </w:pPr>
            <w:r w:rsidRPr="000453AD">
              <w:rPr>
                <w:b/>
                <w:bCs/>
              </w:rPr>
              <w:t xml:space="preserve">Key Domains of Integrated Care </w:t>
            </w:r>
          </w:p>
        </w:tc>
        <w:tc>
          <w:tcPr>
            <w:tcW w:w="2250" w:type="dxa"/>
            <w:shd w:val="clear" w:color="auto" w:fill="ED7D31" w:themeFill="accent2"/>
          </w:tcPr>
          <w:p w14:paraId="36566CA3" w14:textId="77777777" w:rsidR="00E65E5C" w:rsidRPr="000453AD" w:rsidRDefault="00E65E5C" w:rsidP="00845310">
            <w:pPr>
              <w:rPr>
                <w:b/>
                <w:bCs/>
              </w:rPr>
            </w:pPr>
            <w:r>
              <w:rPr>
                <w:b/>
                <w:bCs/>
              </w:rPr>
              <w:t>Sub-Domain</w:t>
            </w:r>
          </w:p>
        </w:tc>
        <w:tc>
          <w:tcPr>
            <w:tcW w:w="2070" w:type="dxa"/>
            <w:shd w:val="clear" w:color="auto" w:fill="8EAADB" w:themeFill="accent1" w:themeFillTint="99"/>
          </w:tcPr>
          <w:p w14:paraId="2C92756B" w14:textId="77777777" w:rsidR="00E65E5C" w:rsidRPr="000453AD" w:rsidRDefault="00E65E5C" w:rsidP="00845310">
            <w:pPr>
              <w:rPr>
                <w:b/>
                <w:bCs/>
              </w:rPr>
            </w:pPr>
            <w:r w:rsidRPr="000453AD">
              <w:rPr>
                <w:b/>
                <w:bCs/>
              </w:rPr>
              <w:t>Preliminary</w:t>
            </w:r>
          </w:p>
        </w:tc>
        <w:tc>
          <w:tcPr>
            <w:tcW w:w="2070" w:type="dxa"/>
            <w:shd w:val="clear" w:color="auto" w:fill="8EAADB" w:themeFill="accent1" w:themeFillTint="99"/>
          </w:tcPr>
          <w:p w14:paraId="09AF594C" w14:textId="77777777" w:rsidR="00E65E5C" w:rsidRPr="000453AD" w:rsidRDefault="00E65E5C" w:rsidP="00845310">
            <w:pPr>
              <w:rPr>
                <w:b/>
                <w:bCs/>
              </w:rPr>
            </w:pPr>
            <w:r w:rsidRPr="000453AD">
              <w:rPr>
                <w:b/>
                <w:bCs/>
              </w:rPr>
              <w:t>Intermediate I.</w:t>
            </w:r>
          </w:p>
        </w:tc>
        <w:tc>
          <w:tcPr>
            <w:tcW w:w="2160" w:type="dxa"/>
            <w:shd w:val="clear" w:color="auto" w:fill="8EAADB" w:themeFill="accent1" w:themeFillTint="99"/>
          </w:tcPr>
          <w:p w14:paraId="270180C4" w14:textId="77777777" w:rsidR="00E65E5C" w:rsidRPr="000453AD" w:rsidRDefault="00E65E5C" w:rsidP="00845310">
            <w:pPr>
              <w:rPr>
                <w:b/>
                <w:bCs/>
              </w:rPr>
            </w:pPr>
            <w:r w:rsidRPr="000453AD">
              <w:rPr>
                <w:b/>
                <w:bCs/>
              </w:rPr>
              <w:t>Intermediate II.</w:t>
            </w:r>
          </w:p>
        </w:tc>
        <w:tc>
          <w:tcPr>
            <w:tcW w:w="2430" w:type="dxa"/>
            <w:shd w:val="clear" w:color="auto" w:fill="8EAADB" w:themeFill="accent1" w:themeFillTint="99"/>
          </w:tcPr>
          <w:p w14:paraId="7FB5B5F7" w14:textId="77777777" w:rsidR="00E65E5C" w:rsidRPr="005C14A9" w:rsidRDefault="00E65E5C" w:rsidP="00845310">
            <w:pPr>
              <w:rPr>
                <w:b/>
                <w:bCs/>
              </w:rPr>
            </w:pPr>
            <w:r w:rsidRPr="005C14A9">
              <w:rPr>
                <w:b/>
                <w:bCs/>
              </w:rPr>
              <w:t>Advanced</w:t>
            </w:r>
          </w:p>
        </w:tc>
        <w:tc>
          <w:tcPr>
            <w:tcW w:w="1350" w:type="dxa"/>
          </w:tcPr>
          <w:p w14:paraId="7912D1F8" w14:textId="77777777" w:rsidR="00E65E5C" w:rsidRPr="000453AD" w:rsidRDefault="00E65E5C" w:rsidP="00845310">
            <w:pPr>
              <w:rPr>
                <w:b/>
                <w:bCs/>
              </w:rPr>
            </w:pPr>
            <w:r w:rsidRPr="006870FB">
              <w:rPr>
                <w:b/>
                <w:bCs/>
                <w:sz w:val="20"/>
                <w:szCs w:val="20"/>
              </w:rPr>
              <w:t>Self-Assessed Level</w:t>
            </w:r>
          </w:p>
        </w:tc>
      </w:tr>
      <w:tr w:rsidR="00A658B0" w:rsidRPr="00E337C0" w14:paraId="681AA1BA" w14:textId="77777777" w:rsidTr="00E65E5C">
        <w:tc>
          <w:tcPr>
            <w:tcW w:w="2160" w:type="dxa"/>
            <w:shd w:val="clear" w:color="auto" w:fill="F4B083" w:themeFill="accent2" w:themeFillTint="99"/>
          </w:tcPr>
          <w:p w14:paraId="0E8A9950" w14:textId="0EA2BAB3" w:rsidR="00A658B0" w:rsidRPr="00E337C0" w:rsidRDefault="00A658B0" w:rsidP="00A658B0">
            <w:pPr>
              <w:rPr>
                <w:b/>
                <w:bCs/>
                <w:sz w:val="18"/>
                <w:szCs w:val="18"/>
              </w:rPr>
            </w:pPr>
            <w:r>
              <w:rPr>
                <w:sz w:val="18"/>
                <w:szCs w:val="18"/>
              </w:rPr>
              <w:t>3</w:t>
            </w:r>
            <w:r w:rsidRPr="00B545FB">
              <w:rPr>
                <w:sz w:val="18"/>
                <w:szCs w:val="18"/>
              </w:rPr>
              <w:t>. Ongoing care management</w:t>
            </w:r>
          </w:p>
        </w:tc>
        <w:tc>
          <w:tcPr>
            <w:tcW w:w="2250" w:type="dxa"/>
            <w:shd w:val="clear" w:color="auto" w:fill="F4B083" w:themeFill="accent2" w:themeFillTint="99"/>
          </w:tcPr>
          <w:p w14:paraId="76285B1D" w14:textId="0A46DEC7" w:rsidR="00A658B0" w:rsidRPr="0026544A" w:rsidRDefault="00A658B0" w:rsidP="00A658B0">
            <w:pPr>
              <w:rPr>
                <w:sz w:val="18"/>
                <w:szCs w:val="18"/>
              </w:rPr>
            </w:pPr>
            <w:r w:rsidRPr="00436511">
              <w:rPr>
                <w:sz w:val="18"/>
                <w:szCs w:val="18"/>
              </w:rPr>
              <w:t>3.1 Longitudinal clinical monitoring &amp; engagement for preventive health and/or chronic health conditions.</w:t>
            </w:r>
          </w:p>
        </w:tc>
        <w:tc>
          <w:tcPr>
            <w:tcW w:w="2070" w:type="dxa"/>
            <w:shd w:val="clear" w:color="auto" w:fill="B4C6E7" w:themeFill="accent1" w:themeFillTint="66"/>
          </w:tcPr>
          <w:p w14:paraId="053C6B90" w14:textId="45E7E694" w:rsidR="00A658B0" w:rsidRPr="00E337C0" w:rsidRDefault="00A658B0" w:rsidP="00A658B0">
            <w:pPr>
              <w:rPr>
                <w:b/>
                <w:bCs/>
                <w:sz w:val="18"/>
                <w:szCs w:val="18"/>
              </w:rPr>
            </w:pPr>
            <w:r w:rsidRPr="00660608">
              <w:rPr>
                <w:sz w:val="18"/>
                <w:szCs w:val="18"/>
              </w:rPr>
              <w:t>None or minimal f/u of patients referred to primary and medical specialty care.</w:t>
            </w:r>
          </w:p>
        </w:tc>
        <w:tc>
          <w:tcPr>
            <w:tcW w:w="2070" w:type="dxa"/>
            <w:shd w:val="clear" w:color="auto" w:fill="B4C6E7" w:themeFill="accent1" w:themeFillTint="66"/>
          </w:tcPr>
          <w:p w14:paraId="79F728E2" w14:textId="449723C7" w:rsidR="00A658B0" w:rsidRPr="00A658B0" w:rsidRDefault="00A658B0" w:rsidP="00A658B0">
            <w:pPr>
              <w:rPr>
                <w:b/>
                <w:bCs/>
                <w:sz w:val="18"/>
                <w:szCs w:val="18"/>
              </w:rPr>
            </w:pPr>
            <w:r w:rsidRPr="00A658B0">
              <w:rPr>
                <w:sz w:val="18"/>
                <w:szCs w:val="18"/>
              </w:rPr>
              <w:t xml:space="preserve">Some ability to perform f/u of general health appointments, encourage medication adherence and </w:t>
            </w:r>
            <w:r w:rsidRPr="00A658B0">
              <w:rPr>
                <w:sz w:val="18"/>
                <w:szCs w:val="18"/>
              </w:rPr>
              <w:lastRenderedPageBreak/>
              <w:t>navigation to appointments.</w:t>
            </w:r>
          </w:p>
        </w:tc>
        <w:tc>
          <w:tcPr>
            <w:tcW w:w="2160" w:type="dxa"/>
            <w:shd w:val="clear" w:color="auto" w:fill="B4C6E7" w:themeFill="accent1" w:themeFillTint="66"/>
          </w:tcPr>
          <w:p w14:paraId="19E86170" w14:textId="26574F63" w:rsidR="00A658B0" w:rsidRPr="00E337C0" w:rsidRDefault="008445EA" w:rsidP="00A658B0">
            <w:pPr>
              <w:rPr>
                <w:b/>
                <w:bCs/>
                <w:sz w:val="18"/>
                <w:szCs w:val="18"/>
              </w:rPr>
            </w:pPr>
            <w:r w:rsidRPr="008445EA">
              <w:rPr>
                <w:sz w:val="18"/>
                <w:szCs w:val="18"/>
              </w:rPr>
              <w:lastRenderedPageBreak/>
              <w:t xml:space="preserve">Routine proactive follow-up and tracking of patient medical outcomes and availability of coaching (in person or using technology application) to </w:t>
            </w:r>
            <w:r w:rsidRPr="008445EA">
              <w:rPr>
                <w:sz w:val="18"/>
                <w:szCs w:val="18"/>
              </w:rPr>
              <w:lastRenderedPageBreak/>
              <w:t>ensure engagement and early response.</w:t>
            </w:r>
          </w:p>
        </w:tc>
        <w:tc>
          <w:tcPr>
            <w:tcW w:w="2430" w:type="dxa"/>
            <w:shd w:val="clear" w:color="auto" w:fill="B4C6E7" w:themeFill="accent1" w:themeFillTint="66"/>
          </w:tcPr>
          <w:p w14:paraId="02EEB891" w14:textId="1C923B8A" w:rsidR="00A658B0" w:rsidRPr="00906243" w:rsidRDefault="00382FA3" w:rsidP="00A658B0">
            <w:pPr>
              <w:rPr>
                <w:b/>
                <w:bCs/>
                <w:sz w:val="18"/>
                <w:szCs w:val="18"/>
              </w:rPr>
            </w:pPr>
            <w:r w:rsidRPr="00382FA3">
              <w:rPr>
                <w:sz w:val="18"/>
                <w:szCs w:val="18"/>
              </w:rPr>
              <w:lastRenderedPageBreak/>
              <w:t xml:space="preserve">Use of tracking tool (e.g., excel tracker or disease registry software) to monitor treatment response and outcomes over time at individual and group level, </w:t>
            </w:r>
            <w:r w:rsidRPr="00382FA3">
              <w:rPr>
                <w:sz w:val="18"/>
                <w:szCs w:val="18"/>
              </w:rPr>
              <w:lastRenderedPageBreak/>
              <w:t>coaching and proactive f/u with appointment reminders.</w:t>
            </w:r>
          </w:p>
        </w:tc>
        <w:tc>
          <w:tcPr>
            <w:tcW w:w="1350" w:type="dxa"/>
          </w:tcPr>
          <w:p w14:paraId="1B2B52F8" w14:textId="77777777" w:rsidR="00A658B0" w:rsidRPr="00E337C0" w:rsidRDefault="00A658B0" w:rsidP="00A658B0">
            <w:pPr>
              <w:rPr>
                <w:b/>
                <w:bCs/>
                <w:sz w:val="18"/>
                <w:szCs w:val="18"/>
              </w:rPr>
            </w:pPr>
          </w:p>
        </w:tc>
      </w:tr>
    </w:tbl>
    <w:p w14:paraId="4CEEC2E3"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60BB3ECD" w14:textId="77777777" w:rsidR="009D2493" w:rsidRDefault="009D2493" w:rsidP="009D2493">
      <w:pPr>
        <w:rPr>
          <w:b/>
          <w:bCs/>
        </w:rPr>
      </w:pPr>
    </w:p>
    <w:p w14:paraId="0A651D56" w14:textId="77777777" w:rsidR="009D2493" w:rsidRPr="009827F6" w:rsidRDefault="009D2493" w:rsidP="009D2493">
      <w:r>
        <w:t>18.</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382FA3" w:rsidRPr="000453AD" w14:paraId="41E41776" w14:textId="77777777" w:rsidTr="00382FA3">
        <w:tc>
          <w:tcPr>
            <w:tcW w:w="2160" w:type="dxa"/>
            <w:shd w:val="clear" w:color="auto" w:fill="ED7D31" w:themeFill="accent2"/>
          </w:tcPr>
          <w:p w14:paraId="32456A5D" w14:textId="77777777" w:rsidR="00382FA3" w:rsidRPr="000453AD" w:rsidRDefault="00382FA3" w:rsidP="00845310">
            <w:pPr>
              <w:rPr>
                <w:b/>
                <w:bCs/>
              </w:rPr>
            </w:pPr>
            <w:r w:rsidRPr="000453AD">
              <w:rPr>
                <w:b/>
                <w:bCs/>
              </w:rPr>
              <w:t xml:space="preserve">Key Domains of Integrated Care </w:t>
            </w:r>
          </w:p>
        </w:tc>
        <w:tc>
          <w:tcPr>
            <w:tcW w:w="2250" w:type="dxa"/>
            <w:shd w:val="clear" w:color="auto" w:fill="ED7D31" w:themeFill="accent2"/>
          </w:tcPr>
          <w:p w14:paraId="2C0E32C0" w14:textId="77777777" w:rsidR="00382FA3" w:rsidRPr="000453AD" w:rsidRDefault="00382FA3" w:rsidP="00845310">
            <w:pPr>
              <w:rPr>
                <w:b/>
                <w:bCs/>
              </w:rPr>
            </w:pPr>
            <w:r>
              <w:rPr>
                <w:b/>
                <w:bCs/>
              </w:rPr>
              <w:t>Sub-Domain</w:t>
            </w:r>
          </w:p>
        </w:tc>
        <w:tc>
          <w:tcPr>
            <w:tcW w:w="2070" w:type="dxa"/>
            <w:shd w:val="clear" w:color="auto" w:fill="8EAADB" w:themeFill="accent1" w:themeFillTint="99"/>
          </w:tcPr>
          <w:p w14:paraId="37BDB5BC" w14:textId="77777777" w:rsidR="00382FA3" w:rsidRPr="000453AD" w:rsidRDefault="00382FA3" w:rsidP="00845310">
            <w:pPr>
              <w:rPr>
                <w:b/>
                <w:bCs/>
              </w:rPr>
            </w:pPr>
            <w:r w:rsidRPr="000453AD">
              <w:rPr>
                <w:b/>
                <w:bCs/>
              </w:rPr>
              <w:t>Preliminary</w:t>
            </w:r>
          </w:p>
        </w:tc>
        <w:tc>
          <w:tcPr>
            <w:tcW w:w="2070" w:type="dxa"/>
            <w:shd w:val="clear" w:color="auto" w:fill="8EAADB" w:themeFill="accent1" w:themeFillTint="99"/>
          </w:tcPr>
          <w:p w14:paraId="03F1B9CD" w14:textId="77777777" w:rsidR="00382FA3" w:rsidRPr="000453AD" w:rsidRDefault="00382FA3" w:rsidP="00845310">
            <w:pPr>
              <w:rPr>
                <w:b/>
                <w:bCs/>
              </w:rPr>
            </w:pPr>
            <w:r w:rsidRPr="000453AD">
              <w:rPr>
                <w:b/>
                <w:bCs/>
              </w:rPr>
              <w:t>Intermediate I.</w:t>
            </w:r>
          </w:p>
        </w:tc>
        <w:tc>
          <w:tcPr>
            <w:tcW w:w="2160" w:type="dxa"/>
            <w:shd w:val="clear" w:color="auto" w:fill="8EAADB" w:themeFill="accent1" w:themeFillTint="99"/>
          </w:tcPr>
          <w:p w14:paraId="6B71B268" w14:textId="77777777" w:rsidR="00382FA3" w:rsidRPr="000453AD" w:rsidRDefault="00382FA3" w:rsidP="00845310">
            <w:pPr>
              <w:rPr>
                <w:b/>
                <w:bCs/>
              </w:rPr>
            </w:pPr>
            <w:r w:rsidRPr="000453AD">
              <w:rPr>
                <w:b/>
                <w:bCs/>
              </w:rPr>
              <w:t>Intermediate II.</w:t>
            </w:r>
          </w:p>
        </w:tc>
        <w:tc>
          <w:tcPr>
            <w:tcW w:w="2430" w:type="dxa"/>
            <w:shd w:val="clear" w:color="auto" w:fill="8EAADB" w:themeFill="accent1" w:themeFillTint="99"/>
          </w:tcPr>
          <w:p w14:paraId="03D61DD2" w14:textId="77777777" w:rsidR="00382FA3" w:rsidRPr="005C14A9" w:rsidRDefault="00382FA3" w:rsidP="00845310">
            <w:pPr>
              <w:rPr>
                <w:b/>
                <w:bCs/>
              </w:rPr>
            </w:pPr>
            <w:r w:rsidRPr="005C14A9">
              <w:rPr>
                <w:b/>
                <w:bCs/>
              </w:rPr>
              <w:t>Advanced</w:t>
            </w:r>
          </w:p>
        </w:tc>
        <w:tc>
          <w:tcPr>
            <w:tcW w:w="1350" w:type="dxa"/>
          </w:tcPr>
          <w:p w14:paraId="4842B344" w14:textId="77777777" w:rsidR="00382FA3" w:rsidRPr="000453AD" w:rsidRDefault="00382FA3" w:rsidP="00845310">
            <w:pPr>
              <w:rPr>
                <w:b/>
                <w:bCs/>
              </w:rPr>
            </w:pPr>
            <w:r w:rsidRPr="006870FB">
              <w:rPr>
                <w:b/>
                <w:bCs/>
                <w:sz w:val="20"/>
                <w:szCs w:val="20"/>
              </w:rPr>
              <w:t>Self-Assessed Level</w:t>
            </w:r>
          </w:p>
        </w:tc>
      </w:tr>
      <w:tr w:rsidR="001C2651" w:rsidRPr="00E337C0" w14:paraId="31F2871B" w14:textId="77777777" w:rsidTr="00382FA3">
        <w:tc>
          <w:tcPr>
            <w:tcW w:w="2160" w:type="dxa"/>
            <w:shd w:val="clear" w:color="auto" w:fill="F4B083" w:themeFill="accent2" w:themeFillTint="99"/>
          </w:tcPr>
          <w:p w14:paraId="48499F5F" w14:textId="1E7BAEC9" w:rsidR="001C2651" w:rsidRPr="004B2444" w:rsidRDefault="001C2651" w:rsidP="001C2651">
            <w:pPr>
              <w:rPr>
                <w:sz w:val="18"/>
                <w:szCs w:val="18"/>
              </w:rPr>
            </w:pPr>
            <w:r w:rsidRPr="00CB3310">
              <w:rPr>
                <w:sz w:val="18"/>
                <w:szCs w:val="18"/>
              </w:rPr>
              <w:t>4. Self-management support that is adapted to culture, socioeconomic and life experiences of patients</w:t>
            </w:r>
          </w:p>
        </w:tc>
        <w:tc>
          <w:tcPr>
            <w:tcW w:w="2250" w:type="dxa"/>
            <w:shd w:val="clear" w:color="auto" w:fill="F4B083" w:themeFill="accent2" w:themeFillTint="99"/>
          </w:tcPr>
          <w:p w14:paraId="4B73EB55" w14:textId="5B6CC62E" w:rsidR="001C2651" w:rsidRPr="0026544A" w:rsidRDefault="001C2651" w:rsidP="001C2651">
            <w:pPr>
              <w:rPr>
                <w:sz w:val="18"/>
                <w:szCs w:val="18"/>
              </w:rPr>
            </w:pPr>
            <w:r w:rsidRPr="00E35509">
              <w:rPr>
                <w:sz w:val="18"/>
                <w:szCs w:val="18"/>
              </w:rPr>
              <w:t>4.1 Use of tools to promote patient activation &amp; recovery with adaptations for literacy, economic status, language, cultural norms</w:t>
            </w:r>
          </w:p>
        </w:tc>
        <w:tc>
          <w:tcPr>
            <w:tcW w:w="2070" w:type="dxa"/>
            <w:shd w:val="clear" w:color="auto" w:fill="B4C6E7" w:themeFill="accent1" w:themeFillTint="66"/>
          </w:tcPr>
          <w:p w14:paraId="39180454" w14:textId="4D5E9044" w:rsidR="001C2651" w:rsidRPr="00E337C0" w:rsidRDefault="001C2651" w:rsidP="001C2651">
            <w:pPr>
              <w:rPr>
                <w:b/>
                <w:bCs/>
                <w:sz w:val="18"/>
                <w:szCs w:val="18"/>
              </w:rPr>
            </w:pPr>
            <w:r w:rsidRPr="00B37313">
              <w:rPr>
                <w:sz w:val="18"/>
                <w:szCs w:val="18"/>
              </w:rPr>
              <w:t>None or minimal patient education on general medical conditions and universal general health risk factor screening recommendations.</w:t>
            </w:r>
          </w:p>
        </w:tc>
        <w:tc>
          <w:tcPr>
            <w:tcW w:w="2070" w:type="dxa"/>
            <w:shd w:val="clear" w:color="auto" w:fill="B4C6E7" w:themeFill="accent1" w:themeFillTint="66"/>
          </w:tcPr>
          <w:p w14:paraId="696AEC4B" w14:textId="56772BB2" w:rsidR="001C2651" w:rsidRPr="00E337C0" w:rsidRDefault="001C2651" w:rsidP="001C2651">
            <w:pPr>
              <w:rPr>
                <w:b/>
                <w:bCs/>
                <w:sz w:val="18"/>
                <w:szCs w:val="18"/>
              </w:rPr>
            </w:pPr>
            <w:r w:rsidRPr="00E23541">
              <w:rPr>
                <w:sz w:val="18"/>
                <w:szCs w:val="18"/>
              </w:rPr>
              <w:t>Some availability of patient education on universal general health risk factor screening recommendations, including materials/handouts/web-based resources, with limited focus on self-management goal-setting.</w:t>
            </w:r>
          </w:p>
        </w:tc>
        <w:tc>
          <w:tcPr>
            <w:tcW w:w="2160" w:type="dxa"/>
            <w:shd w:val="clear" w:color="auto" w:fill="B4C6E7" w:themeFill="accent1" w:themeFillTint="66"/>
          </w:tcPr>
          <w:p w14:paraId="45F7FB06" w14:textId="5AE3053B" w:rsidR="001C2651" w:rsidRPr="00E337C0" w:rsidRDefault="001C2651" w:rsidP="001C2651">
            <w:pPr>
              <w:rPr>
                <w:b/>
                <w:bCs/>
                <w:sz w:val="18"/>
                <w:szCs w:val="18"/>
              </w:rPr>
            </w:pPr>
            <w:r w:rsidRPr="00737F90">
              <w:rPr>
                <w:sz w:val="18"/>
                <w:szCs w:val="18"/>
              </w:rPr>
              <w:t>Routine brief patient education delivered in person or technology application, on universal and targeted preventive screening recommendations and chronic health conditions. Treatment plans include diet and exercise, with routine use of self-management goal-setting.</w:t>
            </w:r>
          </w:p>
        </w:tc>
        <w:tc>
          <w:tcPr>
            <w:tcW w:w="2430" w:type="dxa"/>
            <w:shd w:val="clear" w:color="auto" w:fill="B4C6E7" w:themeFill="accent1" w:themeFillTint="66"/>
          </w:tcPr>
          <w:p w14:paraId="5565DFBB" w14:textId="3ACC434E" w:rsidR="001C2651" w:rsidRPr="001C2651" w:rsidRDefault="001C2651" w:rsidP="001C2651">
            <w:pPr>
              <w:rPr>
                <w:b/>
                <w:bCs/>
                <w:sz w:val="18"/>
                <w:szCs w:val="18"/>
              </w:rPr>
            </w:pPr>
            <w:r w:rsidRPr="001C2651">
              <w:rPr>
                <w:sz w:val="18"/>
                <w:szCs w:val="18"/>
              </w:rPr>
              <w:t>Routine patient education with practical strategies for patient activation and healthy lifestyle habits (exercise &amp; healthy eating) delivered using group education, peer support, technology application and/or on-site or community-based exercise programs. Self-management goals outlined in treatment plans. Advanced directives discussed and documented when appropriate.</w:t>
            </w:r>
          </w:p>
        </w:tc>
        <w:tc>
          <w:tcPr>
            <w:tcW w:w="1350" w:type="dxa"/>
          </w:tcPr>
          <w:p w14:paraId="4044FEDF" w14:textId="77777777" w:rsidR="001C2651" w:rsidRPr="00E337C0" w:rsidRDefault="001C2651" w:rsidP="001C2651">
            <w:pPr>
              <w:rPr>
                <w:b/>
                <w:bCs/>
                <w:sz w:val="18"/>
                <w:szCs w:val="18"/>
              </w:rPr>
            </w:pPr>
          </w:p>
        </w:tc>
      </w:tr>
    </w:tbl>
    <w:p w14:paraId="5C2DA9B6"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4035E555" w14:textId="77777777" w:rsidR="009D2493" w:rsidRDefault="009D2493" w:rsidP="009D2493">
      <w:pPr>
        <w:rPr>
          <w:b/>
          <w:bCs/>
        </w:rPr>
      </w:pPr>
    </w:p>
    <w:p w14:paraId="6EABD581" w14:textId="77777777" w:rsidR="009D2493" w:rsidRPr="009827F6" w:rsidRDefault="009D2493" w:rsidP="009D2493">
      <w:r>
        <w:t>19.</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1C2651" w:rsidRPr="000453AD" w14:paraId="6BBE5202" w14:textId="77777777" w:rsidTr="001C2651">
        <w:tc>
          <w:tcPr>
            <w:tcW w:w="2160" w:type="dxa"/>
            <w:shd w:val="clear" w:color="auto" w:fill="ED7D31" w:themeFill="accent2"/>
          </w:tcPr>
          <w:p w14:paraId="6A0B505F" w14:textId="77777777" w:rsidR="001C2651" w:rsidRPr="000453AD" w:rsidRDefault="001C2651" w:rsidP="00845310">
            <w:pPr>
              <w:rPr>
                <w:b/>
                <w:bCs/>
              </w:rPr>
            </w:pPr>
            <w:r w:rsidRPr="000453AD">
              <w:rPr>
                <w:b/>
                <w:bCs/>
              </w:rPr>
              <w:t xml:space="preserve">Key Domains of Integrated Care </w:t>
            </w:r>
          </w:p>
        </w:tc>
        <w:tc>
          <w:tcPr>
            <w:tcW w:w="2250" w:type="dxa"/>
            <w:shd w:val="clear" w:color="auto" w:fill="ED7D31" w:themeFill="accent2"/>
          </w:tcPr>
          <w:p w14:paraId="4F17473E" w14:textId="77777777" w:rsidR="001C2651" w:rsidRPr="000453AD" w:rsidRDefault="001C2651" w:rsidP="00845310">
            <w:pPr>
              <w:rPr>
                <w:b/>
                <w:bCs/>
              </w:rPr>
            </w:pPr>
            <w:r>
              <w:rPr>
                <w:b/>
                <w:bCs/>
              </w:rPr>
              <w:t>Sub-Domain</w:t>
            </w:r>
          </w:p>
        </w:tc>
        <w:tc>
          <w:tcPr>
            <w:tcW w:w="2070" w:type="dxa"/>
            <w:shd w:val="clear" w:color="auto" w:fill="8EAADB" w:themeFill="accent1" w:themeFillTint="99"/>
          </w:tcPr>
          <w:p w14:paraId="4B150398" w14:textId="77777777" w:rsidR="001C2651" w:rsidRPr="000453AD" w:rsidRDefault="001C2651" w:rsidP="00845310">
            <w:pPr>
              <w:rPr>
                <w:b/>
                <w:bCs/>
              </w:rPr>
            </w:pPr>
            <w:r w:rsidRPr="000453AD">
              <w:rPr>
                <w:b/>
                <w:bCs/>
              </w:rPr>
              <w:t>Preliminary</w:t>
            </w:r>
          </w:p>
        </w:tc>
        <w:tc>
          <w:tcPr>
            <w:tcW w:w="2070" w:type="dxa"/>
            <w:shd w:val="clear" w:color="auto" w:fill="8EAADB" w:themeFill="accent1" w:themeFillTint="99"/>
          </w:tcPr>
          <w:p w14:paraId="0037B18B" w14:textId="77777777" w:rsidR="001C2651" w:rsidRPr="000453AD" w:rsidRDefault="001C2651" w:rsidP="00845310">
            <w:pPr>
              <w:rPr>
                <w:b/>
                <w:bCs/>
              </w:rPr>
            </w:pPr>
            <w:r w:rsidRPr="000453AD">
              <w:rPr>
                <w:b/>
                <w:bCs/>
              </w:rPr>
              <w:t>Intermediate I.</w:t>
            </w:r>
          </w:p>
        </w:tc>
        <w:tc>
          <w:tcPr>
            <w:tcW w:w="2160" w:type="dxa"/>
            <w:shd w:val="clear" w:color="auto" w:fill="8EAADB" w:themeFill="accent1" w:themeFillTint="99"/>
          </w:tcPr>
          <w:p w14:paraId="73A2D45F" w14:textId="77777777" w:rsidR="001C2651" w:rsidRPr="000453AD" w:rsidRDefault="001C2651" w:rsidP="00845310">
            <w:pPr>
              <w:rPr>
                <w:b/>
                <w:bCs/>
              </w:rPr>
            </w:pPr>
            <w:r w:rsidRPr="000453AD">
              <w:rPr>
                <w:b/>
                <w:bCs/>
              </w:rPr>
              <w:t>Intermediate II.</w:t>
            </w:r>
          </w:p>
        </w:tc>
        <w:tc>
          <w:tcPr>
            <w:tcW w:w="2430" w:type="dxa"/>
            <w:shd w:val="clear" w:color="auto" w:fill="8EAADB" w:themeFill="accent1" w:themeFillTint="99"/>
          </w:tcPr>
          <w:p w14:paraId="48BA272A" w14:textId="77777777" w:rsidR="001C2651" w:rsidRPr="005C14A9" w:rsidRDefault="001C2651" w:rsidP="00845310">
            <w:pPr>
              <w:rPr>
                <w:b/>
                <w:bCs/>
              </w:rPr>
            </w:pPr>
            <w:r w:rsidRPr="005C14A9">
              <w:rPr>
                <w:b/>
                <w:bCs/>
              </w:rPr>
              <w:t>Advanced</w:t>
            </w:r>
          </w:p>
        </w:tc>
        <w:tc>
          <w:tcPr>
            <w:tcW w:w="1350" w:type="dxa"/>
          </w:tcPr>
          <w:p w14:paraId="287D58A4" w14:textId="77777777" w:rsidR="001C2651" w:rsidRPr="000453AD" w:rsidRDefault="001C2651" w:rsidP="00845310">
            <w:pPr>
              <w:rPr>
                <w:b/>
                <w:bCs/>
              </w:rPr>
            </w:pPr>
            <w:r w:rsidRPr="006870FB">
              <w:rPr>
                <w:b/>
                <w:bCs/>
                <w:sz w:val="20"/>
                <w:szCs w:val="20"/>
              </w:rPr>
              <w:t>Self-Assessed Level</w:t>
            </w:r>
          </w:p>
        </w:tc>
      </w:tr>
      <w:tr w:rsidR="001C2651" w:rsidRPr="00E337C0" w14:paraId="212C9E9C" w14:textId="77777777" w:rsidTr="001C2651">
        <w:tc>
          <w:tcPr>
            <w:tcW w:w="2160" w:type="dxa"/>
            <w:shd w:val="clear" w:color="auto" w:fill="F4B083" w:themeFill="accent2" w:themeFillTint="99"/>
          </w:tcPr>
          <w:p w14:paraId="2FCA0B48" w14:textId="1AED69C7" w:rsidR="001C2651" w:rsidRPr="004B2444" w:rsidRDefault="002E253A" w:rsidP="00845310">
            <w:pPr>
              <w:rPr>
                <w:sz w:val="18"/>
                <w:szCs w:val="18"/>
              </w:rPr>
            </w:pPr>
            <w:r w:rsidRPr="002E253A">
              <w:rPr>
                <w:sz w:val="18"/>
                <w:szCs w:val="18"/>
              </w:rPr>
              <w:t>5. Multidisciplinary team (including patients) with dedicated time to provide general health care</w:t>
            </w:r>
          </w:p>
        </w:tc>
        <w:tc>
          <w:tcPr>
            <w:tcW w:w="2250" w:type="dxa"/>
            <w:shd w:val="clear" w:color="auto" w:fill="F4B083" w:themeFill="accent2" w:themeFillTint="99"/>
          </w:tcPr>
          <w:p w14:paraId="751F8A1E" w14:textId="5585ECFA" w:rsidR="001C2651" w:rsidRPr="0026544A" w:rsidRDefault="00910560" w:rsidP="00845310">
            <w:pPr>
              <w:rPr>
                <w:sz w:val="18"/>
                <w:szCs w:val="18"/>
              </w:rPr>
            </w:pPr>
            <w:r w:rsidRPr="00910560">
              <w:rPr>
                <w:sz w:val="18"/>
                <w:szCs w:val="18"/>
              </w:rPr>
              <w:t>5.1 Care Team</w:t>
            </w:r>
          </w:p>
        </w:tc>
        <w:tc>
          <w:tcPr>
            <w:tcW w:w="2070" w:type="dxa"/>
            <w:shd w:val="clear" w:color="auto" w:fill="B4C6E7" w:themeFill="accent1" w:themeFillTint="66"/>
          </w:tcPr>
          <w:p w14:paraId="56028D3E" w14:textId="6A6CBAB9" w:rsidR="001C2651" w:rsidRPr="001617D1" w:rsidRDefault="001617D1" w:rsidP="00845310">
            <w:pPr>
              <w:rPr>
                <w:b/>
                <w:bCs/>
                <w:sz w:val="18"/>
                <w:szCs w:val="18"/>
              </w:rPr>
            </w:pPr>
            <w:r w:rsidRPr="001617D1">
              <w:rPr>
                <w:sz w:val="18"/>
                <w:szCs w:val="18"/>
              </w:rPr>
              <w:t>BH provider(s), patient, family caregiver</w:t>
            </w:r>
            <w:r w:rsidRPr="001617D1">
              <w:rPr>
                <w:rStyle w:val="EndnoteReference"/>
                <w:sz w:val="18"/>
                <w:szCs w:val="18"/>
              </w:rPr>
              <w:endnoteReference w:id="6"/>
            </w:r>
            <w:r w:rsidRPr="001617D1">
              <w:rPr>
                <w:sz w:val="18"/>
                <w:szCs w:val="18"/>
              </w:rPr>
              <w:t xml:space="preserve"> (if appropriate).</w:t>
            </w:r>
          </w:p>
        </w:tc>
        <w:tc>
          <w:tcPr>
            <w:tcW w:w="2070" w:type="dxa"/>
            <w:shd w:val="clear" w:color="auto" w:fill="B4C6E7" w:themeFill="accent1" w:themeFillTint="66"/>
          </w:tcPr>
          <w:p w14:paraId="3AF1768A" w14:textId="49286105" w:rsidR="001C2651" w:rsidRPr="00E337C0" w:rsidRDefault="00685759" w:rsidP="00845310">
            <w:pPr>
              <w:rPr>
                <w:b/>
                <w:bCs/>
                <w:sz w:val="18"/>
                <w:szCs w:val="18"/>
              </w:rPr>
            </w:pPr>
            <w:r w:rsidRPr="00685759">
              <w:rPr>
                <w:sz w:val="18"/>
                <w:szCs w:val="18"/>
              </w:rPr>
              <w:t>BH provider(s), patient, nurse, family caregiver.</w:t>
            </w:r>
          </w:p>
        </w:tc>
        <w:tc>
          <w:tcPr>
            <w:tcW w:w="2160" w:type="dxa"/>
            <w:shd w:val="clear" w:color="auto" w:fill="B4C6E7" w:themeFill="accent1" w:themeFillTint="66"/>
          </w:tcPr>
          <w:p w14:paraId="5C5D5F01" w14:textId="62D2BE19" w:rsidR="001C2651" w:rsidRPr="00E337C0" w:rsidRDefault="005D0018" w:rsidP="00845310">
            <w:pPr>
              <w:rPr>
                <w:b/>
                <w:bCs/>
                <w:sz w:val="18"/>
                <w:szCs w:val="18"/>
              </w:rPr>
            </w:pPr>
            <w:r w:rsidRPr="005D0018">
              <w:rPr>
                <w:sz w:val="18"/>
                <w:szCs w:val="18"/>
              </w:rPr>
              <w:t>BH provider(s), patient, nurse, peer, co-located PCP(s), (M.D., D.O., PA, NP), family caregiver.</w:t>
            </w:r>
          </w:p>
        </w:tc>
        <w:tc>
          <w:tcPr>
            <w:tcW w:w="2430" w:type="dxa"/>
            <w:shd w:val="clear" w:color="auto" w:fill="B4C6E7" w:themeFill="accent1" w:themeFillTint="66"/>
          </w:tcPr>
          <w:p w14:paraId="2A4EB796" w14:textId="77777777" w:rsidR="007F5464" w:rsidRPr="007F5464" w:rsidRDefault="007F5464" w:rsidP="007F5464">
            <w:pPr>
              <w:rPr>
                <w:sz w:val="18"/>
                <w:szCs w:val="18"/>
              </w:rPr>
            </w:pPr>
            <w:r w:rsidRPr="007F5464">
              <w:rPr>
                <w:sz w:val="18"/>
                <w:szCs w:val="18"/>
              </w:rPr>
              <w:t>BH provider(s), patient, nurse,</w:t>
            </w:r>
          </w:p>
          <w:p w14:paraId="05127F29" w14:textId="28E5BA34" w:rsidR="001C2651" w:rsidRPr="00E337C0" w:rsidRDefault="007F5464" w:rsidP="007F5464">
            <w:pPr>
              <w:rPr>
                <w:b/>
                <w:bCs/>
                <w:sz w:val="18"/>
                <w:szCs w:val="18"/>
              </w:rPr>
            </w:pPr>
            <w:r w:rsidRPr="007F5464">
              <w:rPr>
                <w:sz w:val="18"/>
                <w:szCs w:val="18"/>
              </w:rPr>
              <w:t>peer, PCP(s), care manager focused on general health integration, family caregiver.</w:t>
            </w:r>
          </w:p>
        </w:tc>
        <w:tc>
          <w:tcPr>
            <w:tcW w:w="1350" w:type="dxa"/>
          </w:tcPr>
          <w:p w14:paraId="31A4FA8C" w14:textId="77777777" w:rsidR="001C2651" w:rsidRPr="00E337C0" w:rsidRDefault="001C2651" w:rsidP="00845310">
            <w:pPr>
              <w:rPr>
                <w:b/>
                <w:bCs/>
                <w:sz w:val="18"/>
                <w:szCs w:val="18"/>
              </w:rPr>
            </w:pPr>
          </w:p>
        </w:tc>
      </w:tr>
    </w:tbl>
    <w:p w14:paraId="1C985EAD"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47CD80AB" w14:textId="77777777" w:rsidR="009D2493" w:rsidRDefault="009D2493" w:rsidP="009D2493">
      <w:pPr>
        <w:rPr>
          <w:b/>
          <w:bCs/>
        </w:rPr>
      </w:pPr>
    </w:p>
    <w:p w14:paraId="31CDEA3A" w14:textId="77777777" w:rsidR="009D2493" w:rsidRPr="009827F6" w:rsidRDefault="009D2493" w:rsidP="009D2493">
      <w:r>
        <w:t>20.</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7F5464" w:rsidRPr="000453AD" w14:paraId="1C50B265" w14:textId="77777777" w:rsidTr="007F5464">
        <w:tc>
          <w:tcPr>
            <w:tcW w:w="2160" w:type="dxa"/>
            <w:shd w:val="clear" w:color="auto" w:fill="ED7D31" w:themeFill="accent2"/>
          </w:tcPr>
          <w:p w14:paraId="58DF8FFB" w14:textId="77777777" w:rsidR="007F5464" w:rsidRPr="000453AD" w:rsidRDefault="007F5464" w:rsidP="00845310">
            <w:pPr>
              <w:rPr>
                <w:b/>
                <w:bCs/>
              </w:rPr>
            </w:pPr>
            <w:r w:rsidRPr="000453AD">
              <w:rPr>
                <w:b/>
                <w:bCs/>
              </w:rPr>
              <w:lastRenderedPageBreak/>
              <w:t xml:space="preserve">Key Domains of Integrated Care </w:t>
            </w:r>
          </w:p>
        </w:tc>
        <w:tc>
          <w:tcPr>
            <w:tcW w:w="2250" w:type="dxa"/>
            <w:shd w:val="clear" w:color="auto" w:fill="ED7D31" w:themeFill="accent2"/>
          </w:tcPr>
          <w:p w14:paraId="13A382D4" w14:textId="77777777" w:rsidR="007F5464" w:rsidRPr="000453AD" w:rsidRDefault="007F5464" w:rsidP="00845310">
            <w:pPr>
              <w:rPr>
                <w:b/>
                <w:bCs/>
              </w:rPr>
            </w:pPr>
            <w:r>
              <w:rPr>
                <w:b/>
                <w:bCs/>
              </w:rPr>
              <w:t>Sub-Domain</w:t>
            </w:r>
          </w:p>
        </w:tc>
        <w:tc>
          <w:tcPr>
            <w:tcW w:w="2070" w:type="dxa"/>
            <w:shd w:val="clear" w:color="auto" w:fill="8EAADB" w:themeFill="accent1" w:themeFillTint="99"/>
          </w:tcPr>
          <w:p w14:paraId="02DEAF0C" w14:textId="77777777" w:rsidR="007F5464" w:rsidRPr="000453AD" w:rsidRDefault="007F5464" w:rsidP="00845310">
            <w:pPr>
              <w:rPr>
                <w:b/>
                <w:bCs/>
              </w:rPr>
            </w:pPr>
            <w:r w:rsidRPr="000453AD">
              <w:rPr>
                <w:b/>
                <w:bCs/>
              </w:rPr>
              <w:t>Preliminary</w:t>
            </w:r>
          </w:p>
        </w:tc>
        <w:tc>
          <w:tcPr>
            <w:tcW w:w="2070" w:type="dxa"/>
            <w:shd w:val="clear" w:color="auto" w:fill="8EAADB" w:themeFill="accent1" w:themeFillTint="99"/>
          </w:tcPr>
          <w:p w14:paraId="33EE2365" w14:textId="77777777" w:rsidR="007F5464" w:rsidRPr="000453AD" w:rsidRDefault="007F5464" w:rsidP="00845310">
            <w:pPr>
              <w:rPr>
                <w:b/>
                <w:bCs/>
              </w:rPr>
            </w:pPr>
            <w:r w:rsidRPr="000453AD">
              <w:rPr>
                <w:b/>
                <w:bCs/>
              </w:rPr>
              <w:t>Intermediate I.</w:t>
            </w:r>
          </w:p>
        </w:tc>
        <w:tc>
          <w:tcPr>
            <w:tcW w:w="2160" w:type="dxa"/>
            <w:shd w:val="clear" w:color="auto" w:fill="8EAADB" w:themeFill="accent1" w:themeFillTint="99"/>
          </w:tcPr>
          <w:p w14:paraId="51D0B0D6" w14:textId="77777777" w:rsidR="007F5464" w:rsidRPr="000453AD" w:rsidRDefault="007F5464" w:rsidP="00845310">
            <w:pPr>
              <w:rPr>
                <w:b/>
                <w:bCs/>
              </w:rPr>
            </w:pPr>
            <w:r w:rsidRPr="000453AD">
              <w:rPr>
                <w:b/>
                <w:bCs/>
              </w:rPr>
              <w:t>Intermediate II.</w:t>
            </w:r>
          </w:p>
        </w:tc>
        <w:tc>
          <w:tcPr>
            <w:tcW w:w="2430" w:type="dxa"/>
            <w:shd w:val="clear" w:color="auto" w:fill="8EAADB" w:themeFill="accent1" w:themeFillTint="99"/>
          </w:tcPr>
          <w:p w14:paraId="4E1CD5BC" w14:textId="77777777" w:rsidR="007F5464" w:rsidRPr="005C14A9" w:rsidRDefault="007F5464" w:rsidP="00845310">
            <w:pPr>
              <w:rPr>
                <w:b/>
                <w:bCs/>
              </w:rPr>
            </w:pPr>
            <w:r w:rsidRPr="005C14A9">
              <w:rPr>
                <w:b/>
                <w:bCs/>
              </w:rPr>
              <w:t>Advanced</w:t>
            </w:r>
          </w:p>
        </w:tc>
        <w:tc>
          <w:tcPr>
            <w:tcW w:w="1350" w:type="dxa"/>
          </w:tcPr>
          <w:p w14:paraId="43407EE3" w14:textId="77777777" w:rsidR="007F5464" w:rsidRPr="000453AD" w:rsidRDefault="007F5464" w:rsidP="00845310">
            <w:pPr>
              <w:rPr>
                <w:b/>
                <w:bCs/>
              </w:rPr>
            </w:pPr>
            <w:r w:rsidRPr="006870FB">
              <w:rPr>
                <w:b/>
                <w:bCs/>
                <w:sz w:val="20"/>
                <w:szCs w:val="20"/>
              </w:rPr>
              <w:t>Self-Assessed Level</w:t>
            </w:r>
          </w:p>
        </w:tc>
      </w:tr>
      <w:tr w:rsidR="007F5464" w:rsidRPr="00E337C0" w14:paraId="4E977207" w14:textId="77777777" w:rsidTr="007F5464">
        <w:tc>
          <w:tcPr>
            <w:tcW w:w="2160" w:type="dxa"/>
            <w:shd w:val="clear" w:color="auto" w:fill="F4B083" w:themeFill="accent2" w:themeFillTint="99"/>
          </w:tcPr>
          <w:p w14:paraId="325AE790" w14:textId="22DD0313" w:rsidR="007F5464" w:rsidRPr="004B2444" w:rsidRDefault="00CA64AF" w:rsidP="00845310">
            <w:pPr>
              <w:rPr>
                <w:sz w:val="18"/>
                <w:szCs w:val="18"/>
              </w:rPr>
            </w:pPr>
            <w:r w:rsidRPr="002E253A">
              <w:rPr>
                <w:sz w:val="18"/>
                <w:szCs w:val="18"/>
              </w:rPr>
              <w:t>5. Multidisciplinary team (including patients) with dedicated time to provide general health care</w:t>
            </w:r>
          </w:p>
        </w:tc>
        <w:tc>
          <w:tcPr>
            <w:tcW w:w="2250" w:type="dxa"/>
            <w:shd w:val="clear" w:color="auto" w:fill="F4B083" w:themeFill="accent2" w:themeFillTint="99"/>
          </w:tcPr>
          <w:p w14:paraId="6472473E" w14:textId="68161DEE" w:rsidR="007F5464" w:rsidRPr="0026544A" w:rsidRDefault="00D138C4" w:rsidP="00845310">
            <w:pPr>
              <w:rPr>
                <w:sz w:val="18"/>
                <w:szCs w:val="18"/>
              </w:rPr>
            </w:pPr>
            <w:r w:rsidRPr="00D138C4">
              <w:rPr>
                <w:sz w:val="18"/>
                <w:szCs w:val="18"/>
              </w:rPr>
              <w:t>5.2 Sharing of treatment information, case review, care plans and feedback</w:t>
            </w:r>
          </w:p>
        </w:tc>
        <w:tc>
          <w:tcPr>
            <w:tcW w:w="2070" w:type="dxa"/>
            <w:shd w:val="clear" w:color="auto" w:fill="B4C6E7" w:themeFill="accent1" w:themeFillTint="66"/>
          </w:tcPr>
          <w:p w14:paraId="0F23FDC1" w14:textId="3F7319D7" w:rsidR="007F5464" w:rsidRPr="00E337C0" w:rsidRDefault="00F40D0D" w:rsidP="00845310">
            <w:pPr>
              <w:rPr>
                <w:b/>
                <w:bCs/>
                <w:sz w:val="18"/>
                <w:szCs w:val="18"/>
              </w:rPr>
            </w:pPr>
            <w:r w:rsidRPr="00F40D0D">
              <w:rPr>
                <w:sz w:val="18"/>
                <w:szCs w:val="18"/>
              </w:rPr>
              <w:t>No or minimal sharing of treatment information and feedback between BH and external PCP.</w:t>
            </w:r>
          </w:p>
        </w:tc>
        <w:tc>
          <w:tcPr>
            <w:tcW w:w="2070" w:type="dxa"/>
            <w:shd w:val="clear" w:color="auto" w:fill="B4C6E7" w:themeFill="accent1" w:themeFillTint="66"/>
          </w:tcPr>
          <w:p w14:paraId="72CA7BA0" w14:textId="093AD4F7" w:rsidR="007F5464" w:rsidRPr="00E337C0" w:rsidRDefault="00B15937" w:rsidP="00845310">
            <w:pPr>
              <w:rPr>
                <w:b/>
                <w:bCs/>
                <w:sz w:val="18"/>
                <w:szCs w:val="18"/>
              </w:rPr>
            </w:pPr>
            <w:r w:rsidRPr="00B15937">
              <w:rPr>
                <w:sz w:val="18"/>
                <w:szCs w:val="18"/>
              </w:rPr>
              <w:t>Exchange of information (phone, fax) and routine consult retrieval from external PCP on changes of general health status, without regular chart documentation.</w:t>
            </w:r>
          </w:p>
        </w:tc>
        <w:tc>
          <w:tcPr>
            <w:tcW w:w="2160" w:type="dxa"/>
            <w:shd w:val="clear" w:color="auto" w:fill="B4C6E7" w:themeFill="accent1" w:themeFillTint="66"/>
          </w:tcPr>
          <w:p w14:paraId="5CF590E6" w14:textId="3FD682BD" w:rsidR="007F5464" w:rsidRPr="00E337C0" w:rsidRDefault="00AC55F4" w:rsidP="00845310">
            <w:pPr>
              <w:rPr>
                <w:b/>
                <w:bCs/>
                <w:sz w:val="18"/>
                <w:szCs w:val="18"/>
              </w:rPr>
            </w:pPr>
            <w:r w:rsidRPr="00AC55F4">
              <w:rPr>
                <w:sz w:val="18"/>
                <w:szCs w:val="18"/>
              </w:rPr>
              <w:t>Discussion of assessment and treatment plans in-person, virtual platform or by telephone when necessary and routine medical and BH notes visible for routine reviews.</w:t>
            </w:r>
          </w:p>
        </w:tc>
        <w:tc>
          <w:tcPr>
            <w:tcW w:w="2430" w:type="dxa"/>
            <w:shd w:val="clear" w:color="auto" w:fill="B4C6E7" w:themeFill="accent1" w:themeFillTint="66"/>
          </w:tcPr>
          <w:p w14:paraId="53C4B76C" w14:textId="3FCCFC4C" w:rsidR="007F5464" w:rsidRPr="00E337C0" w:rsidRDefault="00F36E19" w:rsidP="00845310">
            <w:pPr>
              <w:rPr>
                <w:b/>
                <w:bCs/>
                <w:sz w:val="18"/>
                <w:szCs w:val="18"/>
              </w:rPr>
            </w:pPr>
            <w:r w:rsidRPr="00F36E19">
              <w:rPr>
                <w:sz w:val="18"/>
                <w:szCs w:val="18"/>
              </w:rPr>
              <w:t>Regular in-person, phone, virtual or e-mail meetings to discuss complex cases and routine electronic sharing of information and care plans supported by an organizational culture of open communication channels.</w:t>
            </w:r>
          </w:p>
        </w:tc>
        <w:tc>
          <w:tcPr>
            <w:tcW w:w="1350" w:type="dxa"/>
          </w:tcPr>
          <w:p w14:paraId="3CBD8B58" w14:textId="77777777" w:rsidR="007F5464" w:rsidRPr="00E337C0" w:rsidRDefault="007F5464" w:rsidP="00845310">
            <w:pPr>
              <w:rPr>
                <w:b/>
                <w:bCs/>
                <w:sz w:val="18"/>
                <w:szCs w:val="18"/>
              </w:rPr>
            </w:pPr>
          </w:p>
        </w:tc>
      </w:tr>
    </w:tbl>
    <w:p w14:paraId="474AEB6D"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22FE6630" w14:textId="77777777" w:rsidR="009D2493" w:rsidRDefault="009D2493" w:rsidP="009D2493">
      <w:pPr>
        <w:rPr>
          <w:b/>
          <w:bCs/>
        </w:rPr>
      </w:pPr>
    </w:p>
    <w:p w14:paraId="14A30BA4" w14:textId="77777777" w:rsidR="009D2493" w:rsidRPr="009827F6" w:rsidRDefault="009D2493" w:rsidP="009D2493">
      <w:r>
        <w:t>21.</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F36E19" w:rsidRPr="000453AD" w14:paraId="7B6E4D56" w14:textId="77777777" w:rsidTr="00F36E19">
        <w:tc>
          <w:tcPr>
            <w:tcW w:w="2160" w:type="dxa"/>
            <w:shd w:val="clear" w:color="auto" w:fill="ED7D31" w:themeFill="accent2"/>
          </w:tcPr>
          <w:p w14:paraId="4C768885" w14:textId="77777777" w:rsidR="00F36E19" w:rsidRPr="000453AD" w:rsidRDefault="00F36E19" w:rsidP="00845310">
            <w:pPr>
              <w:rPr>
                <w:b/>
                <w:bCs/>
              </w:rPr>
            </w:pPr>
            <w:r w:rsidRPr="000453AD">
              <w:rPr>
                <w:b/>
                <w:bCs/>
              </w:rPr>
              <w:t xml:space="preserve">Key Domains of Integrated Care </w:t>
            </w:r>
          </w:p>
        </w:tc>
        <w:tc>
          <w:tcPr>
            <w:tcW w:w="2250" w:type="dxa"/>
            <w:shd w:val="clear" w:color="auto" w:fill="ED7D31" w:themeFill="accent2"/>
          </w:tcPr>
          <w:p w14:paraId="7A602D15" w14:textId="77777777" w:rsidR="00F36E19" w:rsidRPr="000453AD" w:rsidRDefault="00F36E19" w:rsidP="00845310">
            <w:pPr>
              <w:rPr>
                <w:b/>
                <w:bCs/>
              </w:rPr>
            </w:pPr>
            <w:r>
              <w:rPr>
                <w:b/>
                <w:bCs/>
              </w:rPr>
              <w:t>Sub-Domain</w:t>
            </w:r>
          </w:p>
        </w:tc>
        <w:tc>
          <w:tcPr>
            <w:tcW w:w="2070" w:type="dxa"/>
            <w:shd w:val="clear" w:color="auto" w:fill="8EAADB" w:themeFill="accent1" w:themeFillTint="99"/>
          </w:tcPr>
          <w:p w14:paraId="56AE6581" w14:textId="77777777" w:rsidR="00F36E19" w:rsidRPr="000453AD" w:rsidRDefault="00F36E19" w:rsidP="00845310">
            <w:pPr>
              <w:rPr>
                <w:b/>
                <w:bCs/>
              </w:rPr>
            </w:pPr>
            <w:r w:rsidRPr="000453AD">
              <w:rPr>
                <w:b/>
                <w:bCs/>
              </w:rPr>
              <w:t>Preliminary</w:t>
            </w:r>
          </w:p>
        </w:tc>
        <w:tc>
          <w:tcPr>
            <w:tcW w:w="2070" w:type="dxa"/>
            <w:shd w:val="clear" w:color="auto" w:fill="8EAADB" w:themeFill="accent1" w:themeFillTint="99"/>
          </w:tcPr>
          <w:p w14:paraId="7B78EED6" w14:textId="77777777" w:rsidR="00F36E19" w:rsidRPr="000453AD" w:rsidRDefault="00F36E19" w:rsidP="00845310">
            <w:pPr>
              <w:rPr>
                <w:b/>
                <w:bCs/>
              </w:rPr>
            </w:pPr>
            <w:r w:rsidRPr="000453AD">
              <w:rPr>
                <w:b/>
                <w:bCs/>
              </w:rPr>
              <w:t>Intermediate I.</w:t>
            </w:r>
          </w:p>
        </w:tc>
        <w:tc>
          <w:tcPr>
            <w:tcW w:w="2160" w:type="dxa"/>
            <w:shd w:val="clear" w:color="auto" w:fill="8EAADB" w:themeFill="accent1" w:themeFillTint="99"/>
          </w:tcPr>
          <w:p w14:paraId="696F73F0" w14:textId="77777777" w:rsidR="00F36E19" w:rsidRPr="000453AD" w:rsidRDefault="00F36E19" w:rsidP="00845310">
            <w:pPr>
              <w:rPr>
                <w:b/>
                <w:bCs/>
              </w:rPr>
            </w:pPr>
            <w:r w:rsidRPr="000453AD">
              <w:rPr>
                <w:b/>
                <w:bCs/>
              </w:rPr>
              <w:t>Intermediate II.</w:t>
            </w:r>
          </w:p>
        </w:tc>
        <w:tc>
          <w:tcPr>
            <w:tcW w:w="2430" w:type="dxa"/>
            <w:shd w:val="clear" w:color="auto" w:fill="8EAADB" w:themeFill="accent1" w:themeFillTint="99"/>
          </w:tcPr>
          <w:p w14:paraId="73BFA31D" w14:textId="77777777" w:rsidR="00F36E19" w:rsidRPr="005C14A9" w:rsidRDefault="00F36E19" w:rsidP="00845310">
            <w:pPr>
              <w:rPr>
                <w:b/>
                <w:bCs/>
              </w:rPr>
            </w:pPr>
            <w:r w:rsidRPr="005C14A9">
              <w:rPr>
                <w:b/>
                <w:bCs/>
              </w:rPr>
              <w:t>Advanced</w:t>
            </w:r>
          </w:p>
        </w:tc>
        <w:tc>
          <w:tcPr>
            <w:tcW w:w="1350" w:type="dxa"/>
          </w:tcPr>
          <w:p w14:paraId="19E18314" w14:textId="77777777" w:rsidR="00F36E19" w:rsidRPr="000453AD" w:rsidRDefault="00F36E19" w:rsidP="00845310">
            <w:pPr>
              <w:rPr>
                <w:b/>
                <w:bCs/>
              </w:rPr>
            </w:pPr>
            <w:r w:rsidRPr="006870FB">
              <w:rPr>
                <w:b/>
                <w:bCs/>
                <w:sz w:val="20"/>
                <w:szCs w:val="20"/>
              </w:rPr>
              <w:t>Self-Assessed Level</w:t>
            </w:r>
          </w:p>
        </w:tc>
      </w:tr>
      <w:tr w:rsidR="00F36E19" w:rsidRPr="00E337C0" w14:paraId="3AEDF7E2" w14:textId="77777777" w:rsidTr="00F36E19">
        <w:tc>
          <w:tcPr>
            <w:tcW w:w="2160" w:type="dxa"/>
            <w:shd w:val="clear" w:color="auto" w:fill="F4B083" w:themeFill="accent2" w:themeFillTint="99"/>
          </w:tcPr>
          <w:p w14:paraId="13D393F5" w14:textId="1DAC5BA5" w:rsidR="00F36E19" w:rsidRPr="004B2444" w:rsidRDefault="00F36E19" w:rsidP="00845310">
            <w:pPr>
              <w:rPr>
                <w:sz w:val="18"/>
                <w:szCs w:val="18"/>
              </w:rPr>
            </w:pPr>
            <w:r w:rsidRPr="002E253A">
              <w:rPr>
                <w:sz w:val="18"/>
                <w:szCs w:val="18"/>
              </w:rPr>
              <w:t>5. Multidisciplinary team (including patients) with dedicated time to provide general health care</w:t>
            </w:r>
          </w:p>
        </w:tc>
        <w:tc>
          <w:tcPr>
            <w:tcW w:w="2250" w:type="dxa"/>
            <w:shd w:val="clear" w:color="auto" w:fill="F4B083" w:themeFill="accent2" w:themeFillTint="99"/>
          </w:tcPr>
          <w:p w14:paraId="36DFE5C9" w14:textId="7E5C19B1" w:rsidR="00F36E19" w:rsidRPr="0026544A" w:rsidRDefault="005F08B1" w:rsidP="00845310">
            <w:pPr>
              <w:rPr>
                <w:sz w:val="18"/>
                <w:szCs w:val="18"/>
              </w:rPr>
            </w:pPr>
            <w:r w:rsidRPr="005F08B1">
              <w:rPr>
                <w:sz w:val="18"/>
                <w:szCs w:val="18"/>
              </w:rPr>
              <w:t>5.3 Integrated care team training</w:t>
            </w:r>
          </w:p>
        </w:tc>
        <w:tc>
          <w:tcPr>
            <w:tcW w:w="2070" w:type="dxa"/>
            <w:shd w:val="clear" w:color="auto" w:fill="B4C6E7" w:themeFill="accent1" w:themeFillTint="66"/>
          </w:tcPr>
          <w:p w14:paraId="467F2A4F" w14:textId="6EBC908A" w:rsidR="00F36E19" w:rsidRPr="00E337C0" w:rsidRDefault="00354903" w:rsidP="00845310">
            <w:pPr>
              <w:rPr>
                <w:b/>
                <w:bCs/>
                <w:sz w:val="18"/>
                <w:szCs w:val="18"/>
              </w:rPr>
            </w:pPr>
            <w:r w:rsidRPr="00354903">
              <w:rPr>
                <w:sz w:val="18"/>
                <w:szCs w:val="18"/>
              </w:rPr>
              <w:t>None or minimal training of all staff levels on integrated care approach and incorporation of whole health concepts.</w:t>
            </w:r>
          </w:p>
        </w:tc>
        <w:tc>
          <w:tcPr>
            <w:tcW w:w="2070" w:type="dxa"/>
            <w:shd w:val="clear" w:color="auto" w:fill="B4C6E7" w:themeFill="accent1" w:themeFillTint="66"/>
          </w:tcPr>
          <w:p w14:paraId="1786EDD2" w14:textId="2D281966" w:rsidR="00F36E19" w:rsidRPr="00E337C0" w:rsidRDefault="00A07BE2" w:rsidP="00845310">
            <w:pPr>
              <w:rPr>
                <w:b/>
                <w:bCs/>
                <w:sz w:val="18"/>
                <w:szCs w:val="18"/>
              </w:rPr>
            </w:pPr>
            <w:r w:rsidRPr="00A07BE2">
              <w:rPr>
                <w:sz w:val="18"/>
                <w:szCs w:val="18"/>
              </w:rPr>
              <w:t>Some training of all staff levels on integrated care approach and incorporation of whole health concepts.</w:t>
            </w:r>
          </w:p>
        </w:tc>
        <w:tc>
          <w:tcPr>
            <w:tcW w:w="2160" w:type="dxa"/>
            <w:shd w:val="clear" w:color="auto" w:fill="B4C6E7" w:themeFill="accent1" w:themeFillTint="66"/>
          </w:tcPr>
          <w:p w14:paraId="49420B85" w14:textId="397ACEE6" w:rsidR="00F36E19" w:rsidRPr="00E337C0" w:rsidRDefault="00B575F8" w:rsidP="00845310">
            <w:pPr>
              <w:rPr>
                <w:b/>
                <w:bCs/>
                <w:sz w:val="18"/>
                <w:szCs w:val="18"/>
              </w:rPr>
            </w:pPr>
            <w:r w:rsidRPr="00B575F8">
              <w:rPr>
                <w:sz w:val="18"/>
                <w:szCs w:val="18"/>
              </w:rPr>
              <w:t>Routine training of all staff levels on integrated care approach and incorporation of whole health concepts with role accountabilities defined.</w:t>
            </w:r>
          </w:p>
        </w:tc>
        <w:tc>
          <w:tcPr>
            <w:tcW w:w="2430" w:type="dxa"/>
            <w:shd w:val="clear" w:color="auto" w:fill="B4C6E7" w:themeFill="accent1" w:themeFillTint="66"/>
          </w:tcPr>
          <w:p w14:paraId="05C0D732" w14:textId="2CE88985" w:rsidR="00F36E19" w:rsidRPr="00E337C0" w:rsidRDefault="001839F2" w:rsidP="00845310">
            <w:pPr>
              <w:rPr>
                <w:b/>
                <w:bCs/>
                <w:sz w:val="18"/>
                <w:szCs w:val="18"/>
              </w:rPr>
            </w:pPr>
            <w:r w:rsidRPr="001839F2">
              <w:rPr>
                <w:sz w:val="18"/>
                <w:szCs w:val="18"/>
              </w:rPr>
              <w:t>Systematic annual training for all staff levels with learning materials that targets areas for improvement within the integrated clinic. Job descriptions that include defined responsibilities for integrated behavioral and physical health.</w:t>
            </w:r>
          </w:p>
        </w:tc>
        <w:tc>
          <w:tcPr>
            <w:tcW w:w="1350" w:type="dxa"/>
          </w:tcPr>
          <w:p w14:paraId="520C3F87" w14:textId="77777777" w:rsidR="00F36E19" w:rsidRPr="00E337C0" w:rsidRDefault="00F36E19" w:rsidP="00845310">
            <w:pPr>
              <w:rPr>
                <w:b/>
                <w:bCs/>
                <w:sz w:val="18"/>
                <w:szCs w:val="18"/>
              </w:rPr>
            </w:pPr>
          </w:p>
        </w:tc>
      </w:tr>
    </w:tbl>
    <w:p w14:paraId="69F19A1D"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564B6AC6" w14:textId="77777777" w:rsidR="009D2493" w:rsidRDefault="009D2493" w:rsidP="009D2493">
      <w:pPr>
        <w:rPr>
          <w:b/>
          <w:bCs/>
        </w:rPr>
      </w:pPr>
    </w:p>
    <w:p w14:paraId="264C0752" w14:textId="77777777" w:rsidR="009D2493" w:rsidRPr="009827F6" w:rsidRDefault="009D2493" w:rsidP="009D2493">
      <w:r>
        <w:t>22.</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1839F2" w:rsidRPr="000453AD" w14:paraId="34EB4D04" w14:textId="77777777" w:rsidTr="001839F2">
        <w:tc>
          <w:tcPr>
            <w:tcW w:w="2160" w:type="dxa"/>
            <w:shd w:val="clear" w:color="auto" w:fill="ED7D31" w:themeFill="accent2"/>
          </w:tcPr>
          <w:p w14:paraId="18979C35" w14:textId="77777777" w:rsidR="001839F2" w:rsidRPr="000453AD" w:rsidRDefault="001839F2" w:rsidP="00845310">
            <w:pPr>
              <w:rPr>
                <w:b/>
                <w:bCs/>
              </w:rPr>
            </w:pPr>
            <w:r w:rsidRPr="000453AD">
              <w:rPr>
                <w:b/>
                <w:bCs/>
              </w:rPr>
              <w:t xml:space="preserve">Key Domains of Integrated Care </w:t>
            </w:r>
          </w:p>
        </w:tc>
        <w:tc>
          <w:tcPr>
            <w:tcW w:w="2250" w:type="dxa"/>
            <w:shd w:val="clear" w:color="auto" w:fill="ED7D31" w:themeFill="accent2"/>
          </w:tcPr>
          <w:p w14:paraId="0B50693C" w14:textId="77777777" w:rsidR="001839F2" w:rsidRPr="000453AD" w:rsidRDefault="001839F2" w:rsidP="00845310">
            <w:pPr>
              <w:rPr>
                <w:b/>
                <w:bCs/>
              </w:rPr>
            </w:pPr>
            <w:r>
              <w:rPr>
                <w:b/>
                <w:bCs/>
              </w:rPr>
              <w:t>Sub-Domain</w:t>
            </w:r>
          </w:p>
        </w:tc>
        <w:tc>
          <w:tcPr>
            <w:tcW w:w="2070" w:type="dxa"/>
            <w:shd w:val="clear" w:color="auto" w:fill="8EAADB" w:themeFill="accent1" w:themeFillTint="99"/>
          </w:tcPr>
          <w:p w14:paraId="26E1DD51" w14:textId="77777777" w:rsidR="001839F2" w:rsidRPr="000453AD" w:rsidRDefault="001839F2" w:rsidP="00845310">
            <w:pPr>
              <w:rPr>
                <w:b/>
                <w:bCs/>
              </w:rPr>
            </w:pPr>
            <w:r w:rsidRPr="000453AD">
              <w:rPr>
                <w:b/>
                <w:bCs/>
              </w:rPr>
              <w:t>Preliminary</w:t>
            </w:r>
          </w:p>
        </w:tc>
        <w:tc>
          <w:tcPr>
            <w:tcW w:w="2070" w:type="dxa"/>
            <w:shd w:val="clear" w:color="auto" w:fill="8EAADB" w:themeFill="accent1" w:themeFillTint="99"/>
          </w:tcPr>
          <w:p w14:paraId="41F440F2" w14:textId="77777777" w:rsidR="001839F2" w:rsidRPr="000453AD" w:rsidRDefault="001839F2" w:rsidP="00845310">
            <w:pPr>
              <w:rPr>
                <w:b/>
                <w:bCs/>
              </w:rPr>
            </w:pPr>
            <w:r w:rsidRPr="000453AD">
              <w:rPr>
                <w:b/>
                <w:bCs/>
              </w:rPr>
              <w:t>Intermediate I.</w:t>
            </w:r>
          </w:p>
        </w:tc>
        <w:tc>
          <w:tcPr>
            <w:tcW w:w="2160" w:type="dxa"/>
            <w:shd w:val="clear" w:color="auto" w:fill="8EAADB" w:themeFill="accent1" w:themeFillTint="99"/>
          </w:tcPr>
          <w:p w14:paraId="526C598E" w14:textId="77777777" w:rsidR="001839F2" w:rsidRPr="000453AD" w:rsidRDefault="001839F2" w:rsidP="00845310">
            <w:pPr>
              <w:rPr>
                <w:b/>
                <w:bCs/>
              </w:rPr>
            </w:pPr>
            <w:r w:rsidRPr="000453AD">
              <w:rPr>
                <w:b/>
                <w:bCs/>
              </w:rPr>
              <w:t>Intermediate II.</w:t>
            </w:r>
          </w:p>
        </w:tc>
        <w:tc>
          <w:tcPr>
            <w:tcW w:w="2430" w:type="dxa"/>
            <w:shd w:val="clear" w:color="auto" w:fill="8EAADB" w:themeFill="accent1" w:themeFillTint="99"/>
          </w:tcPr>
          <w:p w14:paraId="21B48E08" w14:textId="77777777" w:rsidR="001839F2" w:rsidRPr="005C14A9" w:rsidRDefault="001839F2" w:rsidP="00845310">
            <w:pPr>
              <w:rPr>
                <w:b/>
                <w:bCs/>
              </w:rPr>
            </w:pPr>
            <w:r w:rsidRPr="005C14A9">
              <w:rPr>
                <w:b/>
                <w:bCs/>
              </w:rPr>
              <w:t>Advanced</w:t>
            </w:r>
          </w:p>
        </w:tc>
        <w:tc>
          <w:tcPr>
            <w:tcW w:w="1350" w:type="dxa"/>
          </w:tcPr>
          <w:p w14:paraId="26B97C89" w14:textId="77777777" w:rsidR="001839F2" w:rsidRPr="000453AD" w:rsidRDefault="001839F2" w:rsidP="00845310">
            <w:pPr>
              <w:rPr>
                <w:b/>
                <w:bCs/>
              </w:rPr>
            </w:pPr>
            <w:r w:rsidRPr="006870FB">
              <w:rPr>
                <w:b/>
                <w:bCs/>
                <w:sz w:val="20"/>
                <w:szCs w:val="20"/>
              </w:rPr>
              <w:t>Self-Assessed Level</w:t>
            </w:r>
          </w:p>
        </w:tc>
      </w:tr>
      <w:tr w:rsidR="001839F2" w:rsidRPr="00E337C0" w14:paraId="09AB5740" w14:textId="77777777" w:rsidTr="001839F2">
        <w:tc>
          <w:tcPr>
            <w:tcW w:w="2160" w:type="dxa"/>
            <w:shd w:val="clear" w:color="auto" w:fill="F4B083" w:themeFill="accent2" w:themeFillTint="99"/>
          </w:tcPr>
          <w:p w14:paraId="2457D9EC" w14:textId="209B1729" w:rsidR="001839F2" w:rsidRPr="004B2444" w:rsidRDefault="003E4A7C" w:rsidP="00845310">
            <w:pPr>
              <w:rPr>
                <w:sz w:val="18"/>
                <w:szCs w:val="18"/>
              </w:rPr>
            </w:pPr>
            <w:r w:rsidRPr="003E4A7C">
              <w:rPr>
                <w:sz w:val="18"/>
                <w:szCs w:val="18"/>
              </w:rPr>
              <w:t>6. Systematic quality improvement (QI)</w:t>
            </w:r>
          </w:p>
        </w:tc>
        <w:tc>
          <w:tcPr>
            <w:tcW w:w="2250" w:type="dxa"/>
            <w:shd w:val="clear" w:color="auto" w:fill="F4B083" w:themeFill="accent2" w:themeFillTint="99"/>
          </w:tcPr>
          <w:p w14:paraId="594FF771" w14:textId="7C47A4B5" w:rsidR="001839F2" w:rsidRPr="0026544A" w:rsidRDefault="00BD078A" w:rsidP="00845310">
            <w:pPr>
              <w:rPr>
                <w:sz w:val="18"/>
                <w:szCs w:val="18"/>
              </w:rPr>
            </w:pPr>
            <w:r w:rsidRPr="00BD078A">
              <w:rPr>
                <w:sz w:val="18"/>
                <w:szCs w:val="18"/>
              </w:rPr>
              <w:t>6.1 Use of quality metrics for general health program improvement and/or external reporting</w:t>
            </w:r>
          </w:p>
        </w:tc>
        <w:tc>
          <w:tcPr>
            <w:tcW w:w="2070" w:type="dxa"/>
            <w:shd w:val="clear" w:color="auto" w:fill="B4C6E7" w:themeFill="accent1" w:themeFillTint="66"/>
          </w:tcPr>
          <w:p w14:paraId="6BD4998B" w14:textId="56648457" w:rsidR="001839F2" w:rsidRPr="00E337C0" w:rsidRDefault="00073FFC" w:rsidP="00845310">
            <w:pPr>
              <w:rPr>
                <w:b/>
                <w:bCs/>
                <w:sz w:val="18"/>
                <w:szCs w:val="18"/>
              </w:rPr>
            </w:pPr>
            <w:r w:rsidRPr="00073FFC">
              <w:rPr>
                <w:sz w:val="18"/>
                <w:szCs w:val="18"/>
              </w:rPr>
              <w:t>None or minimal use of general health quality metrics (limited use of data, anecdotes, case series).</w:t>
            </w:r>
          </w:p>
        </w:tc>
        <w:tc>
          <w:tcPr>
            <w:tcW w:w="2070" w:type="dxa"/>
            <w:shd w:val="clear" w:color="auto" w:fill="B4C6E7" w:themeFill="accent1" w:themeFillTint="66"/>
          </w:tcPr>
          <w:p w14:paraId="56134E20" w14:textId="3EE1DFCA" w:rsidR="001839F2" w:rsidRPr="00F951EE" w:rsidRDefault="00404DB8" w:rsidP="00845310">
            <w:pPr>
              <w:rPr>
                <w:b/>
                <w:bCs/>
                <w:sz w:val="18"/>
                <w:szCs w:val="18"/>
              </w:rPr>
            </w:pPr>
            <w:r w:rsidRPr="00404DB8">
              <w:rPr>
                <w:sz w:val="18"/>
                <w:szCs w:val="18"/>
              </w:rPr>
              <w:t>Limited tracking of state or health plan quality metrics and some ability to track and report group level preventive care screening rates such as smoking, SUD, obesity, or HIV screening, etc.</w:t>
            </w:r>
          </w:p>
        </w:tc>
        <w:tc>
          <w:tcPr>
            <w:tcW w:w="2160" w:type="dxa"/>
            <w:shd w:val="clear" w:color="auto" w:fill="B4C6E7" w:themeFill="accent1" w:themeFillTint="66"/>
          </w:tcPr>
          <w:p w14:paraId="3DA8F95E" w14:textId="2650BAC5" w:rsidR="001839F2" w:rsidRPr="00E337C0" w:rsidRDefault="00D47469" w:rsidP="00845310">
            <w:pPr>
              <w:rPr>
                <w:b/>
                <w:bCs/>
                <w:sz w:val="18"/>
                <w:szCs w:val="18"/>
              </w:rPr>
            </w:pPr>
            <w:r w:rsidRPr="00D47469">
              <w:rPr>
                <w:sz w:val="18"/>
                <w:szCs w:val="18"/>
              </w:rPr>
              <w:t xml:space="preserve">Periodic monitoring of identified outcome and general health quality metrics (e.g., BMI, smoking status, alcohol status, annual wellness visits, medications and common chronic disease metrics, primary care </w:t>
            </w:r>
            <w:r w:rsidRPr="00D47469">
              <w:rPr>
                <w:sz w:val="18"/>
                <w:szCs w:val="18"/>
              </w:rPr>
              <w:lastRenderedPageBreak/>
              <w:t>indicators) and ability to regularly review performance against benchmarks.</w:t>
            </w:r>
          </w:p>
        </w:tc>
        <w:tc>
          <w:tcPr>
            <w:tcW w:w="2430" w:type="dxa"/>
            <w:shd w:val="clear" w:color="auto" w:fill="B4C6E7" w:themeFill="accent1" w:themeFillTint="66"/>
          </w:tcPr>
          <w:p w14:paraId="16735987" w14:textId="4C4F431F" w:rsidR="001839F2" w:rsidRPr="00E337C0" w:rsidRDefault="00CE2207" w:rsidP="00845310">
            <w:pPr>
              <w:rPr>
                <w:b/>
                <w:bCs/>
                <w:sz w:val="18"/>
                <w:szCs w:val="18"/>
              </w:rPr>
            </w:pPr>
            <w:r w:rsidRPr="00CE2207">
              <w:rPr>
                <w:sz w:val="18"/>
                <w:szCs w:val="18"/>
              </w:rPr>
              <w:lastRenderedPageBreak/>
              <w:t xml:space="preserve">Ongoing systematic monitoring of population level performance metrics (balanced mix of PC and BH indicators), ability to respond to findings using formal improvement strategies, and implementation of </w:t>
            </w:r>
            <w:r w:rsidRPr="00CE2207">
              <w:rPr>
                <w:sz w:val="18"/>
                <w:szCs w:val="18"/>
              </w:rPr>
              <w:lastRenderedPageBreak/>
              <w:t>improvement projects by QI team/champion.</w:t>
            </w:r>
          </w:p>
        </w:tc>
        <w:tc>
          <w:tcPr>
            <w:tcW w:w="1350" w:type="dxa"/>
          </w:tcPr>
          <w:p w14:paraId="623E435E" w14:textId="77777777" w:rsidR="001839F2" w:rsidRPr="00E337C0" w:rsidRDefault="001839F2" w:rsidP="00845310">
            <w:pPr>
              <w:rPr>
                <w:b/>
                <w:bCs/>
                <w:sz w:val="18"/>
                <w:szCs w:val="18"/>
              </w:rPr>
            </w:pPr>
          </w:p>
        </w:tc>
      </w:tr>
    </w:tbl>
    <w:p w14:paraId="741B66A9"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0D3EED86" w14:textId="77777777" w:rsidR="009D2493" w:rsidRDefault="009D2493" w:rsidP="009D2493">
      <w:pPr>
        <w:rPr>
          <w:b/>
          <w:bCs/>
        </w:rPr>
      </w:pPr>
    </w:p>
    <w:p w14:paraId="422AD4CB" w14:textId="77777777" w:rsidR="009D2493" w:rsidRPr="009827F6" w:rsidRDefault="009D2493" w:rsidP="009D2493">
      <w:r>
        <w:t>23.</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CE2207" w:rsidRPr="000453AD" w14:paraId="22BF178B" w14:textId="77777777" w:rsidTr="00CE2207">
        <w:tc>
          <w:tcPr>
            <w:tcW w:w="2160" w:type="dxa"/>
            <w:shd w:val="clear" w:color="auto" w:fill="ED7D31" w:themeFill="accent2"/>
          </w:tcPr>
          <w:p w14:paraId="232F9D53" w14:textId="77777777" w:rsidR="00CE2207" w:rsidRPr="000453AD" w:rsidRDefault="00CE2207" w:rsidP="00845310">
            <w:pPr>
              <w:rPr>
                <w:b/>
                <w:bCs/>
              </w:rPr>
            </w:pPr>
            <w:r w:rsidRPr="000453AD">
              <w:rPr>
                <w:b/>
                <w:bCs/>
              </w:rPr>
              <w:t xml:space="preserve">Key Domains of Integrated Care </w:t>
            </w:r>
          </w:p>
        </w:tc>
        <w:tc>
          <w:tcPr>
            <w:tcW w:w="2250" w:type="dxa"/>
            <w:shd w:val="clear" w:color="auto" w:fill="ED7D31" w:themeFill="accent2"/>
          </w:tcPr>
          <w:p w14:paraId="74B32FEC" w14:textId="77777777" w:rsidR="00CE2207" w:rsidRPr="000453AD" w:rsidRDefault="00CE2207" w:rsidP="00845310">
            <w:pPr>
              <w:rPr>
                <w:b/>
                <w:bCs/>
              </w:rPr>
            </w:pPr>
            <w:r>
              <w:rPr>
                <w:b/>
                <w:bCs/>
              </w:rPr>
              <w:t>Sub-Domain</w:t>
            </w:r>
          </w:p>
        </w:tc>
        <w:tc>
          <w:tcPr>
            <w:tcW w:w="2070" w:type="dxa"/>
            <w:shd w:val="clear" w:color="auto" w:fill="8EAADB" w:themeFill="accent1" w:themeFillTint="99"/>
          </w:tcPr>
          <w:p w14:paraId="194276DC" w14:textId="77777777" w:rsidR="00CE2207" w:rsidRPr="000453AD" w:rsidRDefault="00CE2207" w:rsidP="00845310">
            <w:pPr>
              <w:rPr>
                <w:b/>
                <w:bCs/>
              </w:rPr>
            </w:pPr>
            <w:r w:rsidRPr="000453AD">
              <w:rPr>
                <w:b/>
                <w:bCs/>
              </w:rPr>
              <w:t>Preliminary</w:t>
            </w:r>
          </w:p>
        </w:tc>
        <w:tc>
          <w:tcPr>
            <w:tcW w:w="2070" w:type="dxa"/>
            <w:shd w:val="clear" w:color="auto" w:fill="8EAADB" w:themeFill="accent1" w:themeFillTint="99"/>
          </w:tcPr>
          <w:p w14:paraId="25D68ECB" w14:textId="77777777" w:rsidR="00CE2207" w:rsidRPr="000453AD" w:rsidRDefault="00CE2207" w:rsidP="00845310">
            <w:pPr>
              <w:rPr>
                <w:b/>
                <w:bCs/>
              </w:rPr>
            </w:pPr>
            <w:r w:rsidRPr="000453AD">
              <w:rPr>
                <w:b/>
                <w:bCs/>
              </w:rPr>
              <w:t>Intermediate I.</w:t>
            </w:r>
          </w:p>
        </w:tc>
        <w:tc>
          <w:tcPr>
            <w:tcW w:w="2160" w:type="dxa"/>
            <w:shd w:val="clear" w:color="auto" w:fill="8EAADB" w:themeFill="accent1" w:themeFillTint="99"/>
          </w:tcPr>
          <w:p w14:paraId="3330D66B" w14:textId="77777777" w:rsidR="00CE2207" w:rsidRPr="000453AD" w:rsidRDefault="00CE2207" w:rsidP="00845310">
            <w:pPr>
              <w:rPr>
                <w:b/>
                <w:bCs/>
              </w:rPr>
            </w:pPr>
            <w:r w:rsidRPr="000453AD">
              <w:rPr>
                <w:b/>
                <w:bCs/>
              </w:rPr>
              <w:t>Intermediate II.</w:t>
            </w:r>
          </w:p>
        </w:tc>
        <w:tc>
          <w:tcPr>
            <w:tcW w:w="2430" w:type="dxa"/>
            <w:shd w:val="clear" w:color="auto" w:fill="8EAADB" w:themeFill="accent1" w:themeFillTint="99"/>
          </w:tcPr>
          <w:p w14:paraId="739E8416" w14:textId="77777777" w:rsidR="00CE2207" w:rsidRPr="005C14A9" w:rsidRDefault="00CE2207" w:rsidP="00845310">
            <w:pPr>
              <w:rPr>
                <w:b/>
                <w:bCs/>
              </w:rPr>
            </w:pPr>
            <w:r w:rsidRPr="005C14A9">
              <w:rPr>
                <w:b/>
                <w:bCs/>
              </w:rPr>
              <w:t>Advanced</w:t>
            </w:r>
          </w:p>
        </w:tc>
        <w:tc>
          <w:tcPr>
            <w:tcW w:w="1350" w:type="dxa"/>
          </w:tcPr>
          <w:p w14:paraId="233E2932" w14:textId="77777777" w:rsidR="00CE2207" w:rsidRPr="000453AD" w:rsidRDefault="00CE2207" w:rsidP="00845310">
            <w:pPr>
              <w:rPr>
                <w:b/>
                <w:bCs/>
              </w:rPr>
            </w:pPr>
            <w:r w:rsidRPr="006870FB">
              <w:rPr>
                <w:b/>
                <w:bCs/>
                <w:sz w:val="20"/>
                <w:szCs w:val="20"/>
              </w:rPr>
              <w:t>Self-Assessed Level</w:t>
            </w:r>
          </w:p>
        </w:tc>
      </w:tr>
      <w:tr w:rsidR="00CE2207" w:rsidRPr="00E337C0" w14:paraId="41375876" w14:textId="77777777" w:rsidTr="00CE2207">
        <w:tc>
          <w:tcPr>
            <w:tcW w:w="2160" w:type="dxa"/>
            <w:shd w:val="clear" w:color="auto" w:fill="F4B083" w:themeFill="accent2" w:themeFillTint="99"/>
          </w:tcPr>
          <w:p w14:paraId="753D5E53" w14:textId="7DD3837D" w:rsidR="00CE2207" w:rsidRPr="004B2444" w:rsidRDefault="009374DF" w:rsidP="00845310">
            <w:pPr>
              <w:rPr>
                <w:sz w:val="18"/>
                <w:szCs w:val="18"/>
              </w:rPr>
            </w:pPr>
            <w:r w:rsidRPr="009374DF">
              <w:rPr>
                <w:sz w:val="18"/>
                <w:szCs w:val="18"/>
              </w:rPr>
              <w:t>7. Linkages with community/social services that improve general health and mitigate environmental risk factors</w:t>
            </w:r>
          </w:p>
        </w:tc>
        <w:tc>
          <w:tcPr>
            <w:tcW w:w="2250" w:type="dxa"/>
            <w:shd w:val="clear" w:color="auto" w:fill="F4B083" w:themeFill="accent2" w:themeFillTint="99"/>
          </w:tcPr>
          <w:p w14:paraId="4E588F3C" w14:textId="18F92E3F" w:rsidR="00CE2207" w:rsidRPr="0026544A" w:rsidRDefault="00F66568" w:rsidP="00845310">
            <w:pPr>
              <w:rPr>
                <w:sz w:val="18"/>
                <w:szCs w:val="18"/>
              </w:rPr>
            </w:pPr>
            <w:r w:rsidRPr="00F66568">
              <w:rPr>
                <w:sz w:val="18"/>
                <w:szCs w:val="18"/>
              </w:rPr>
              <w:t>7.1 Linkages to housing, entitlement, other social support services</w:t>
            </w:r>
          </w:p>
        </w:tc>
        <w:tc>
          <w:tcPr>
            <w:tcW w:w="2070" w:type="dxa"/>
            <w:shd w:val="clear" w:color="auto" w:fill="B4C6E7" w:themeFill="accent1" w:themeFillTint="66"/>
          </w:tcPr>
          <w:p w14:paraId="367BDF04" w14:textId="493D3CD9" w:rsidR="00CE2207" w:rsidRPr="00E337C0" w:rsidRDefault="00A4005F" w:rsidP="00845310">
            <w:pPr>
              <w:rPr>
                <w:b/>
                <w:bCs/>
                <w:sz w:val="18"/>
                <w:szCs w:val="18"/>
              </w:rPr>
            </w:pPr>
            <w:r w:rsidRPr="00A4005F">
              <w:rPr>
                <w:sz w:val="18"/>
                <w:szCs w:val="18"/>
              </w:rPr>
              <w:t>No or limited/informal screening of social determinants of health (SDOH) and linkages to social service agencies, limited information exchange or follow-up.</w:t>
            </w:r>
          </w:p>
        </w:tc>
        <w:tc>
          <w:tcPr>
            <w:tcW w:w="2070" w:type="dxa"/>
            <w:shd w:val="clear" w:color="auto" w:fill="B4C6E7" w:themeFill="accent1" w:themeFillTint="66"/>
          </w:tcPr>
          <w:p w14:paraId="49277DB6" w14:textId="695D6CDF" w:rsidR="00CE2207" w:rsidRPr="00F951EE" w:rsidRDefault="006143D3" w:rsidP="00845310">
            <w:pPr>
              <w:rPr>
                <w:b/>
                <w:bCs/>
                <w:sz w:val="18"/>
                <w:szCs w:val="18"/>
              </w:rPr>
            </w:pPr>
            <w:r w:rsidRPr="006143D3">
              <w:rPr>
                <w:sz w:val="18"/>
                <w:szCs w:val="18"/>
              </w:rPr>
              <w:t>Routine SDOH screening and referrals made to social service agencies, with limited information exchange or follow-up.</w:t>
            </w:r>
          </w:p>
        </w:tc>
        <w:tc>
          <w:tcPr>
            <w:tcW w:w="2160" w:type="dxa"/>
            <w:shd w:val="clear" w:color="auto" w:fill="B4C6E7" w:themeFill="accent1" w:themeFillTint="66"/>
          </w:tcPr>
          <w:p w14:paraId="0B0E801E" w14:textId="1AFDD5E6" w:rsidR="00CE2207" w:rsidRPr="00E337C0" w:rsidRDefault="00AC7AD5" w:rsidP="00845310">
            <w:pPr>
              <w:rPr>
                <w:b/>
                <w:bCs/>
                <w:sz w:val="18"/>
                <w:szCs w:val="18"/>
              </w:rPr>
            </w:pPr>
            <w:r w:rsidRPr="00AC7AD5">
              <w:rPr>
                <w:sz w:val="18"/>
                <w:szCs w:val="18"/>
              </w:rPr>
              <w:t>Routine SDOH screening, with information exchange with social service agencies, with limited capacity for follow-up.</w:t>
            </w:r>
          </w:p>
        </w:tc>
        <w:tc>
          <w:tcPr>
            <w:tcW w:w="2430" w:type="dxa"/>
            <w:shd w:val="clear" w:color="auto" w:fill="B4C6E7" w:themeFill="accent1" w:themeFillTint="66"/>
          </w:tcPr>
          <w:p w14:paraId="33F55F02" w14:textId="77777777" w:rsidR="00B12E49" w:rsidRPr="00B12E49" w:rsidRDefault="00B12E49" w:rsidP="00B12E49">
            <w:pPr>
              <w:rPr>
                <w:sz w:val="18"/>
                <w:szCs w:val="18"/>
              </w:rPr>
            </w:pPr>
            <w:r w:rsidRPr="00B12E49">
              <w:rPr>
                <w:sz w:val="18"/>
                <w:szCs w:val="18"/>
              </w:rPr>
              <w:t>Detailed psychosocial assessment incorporating</w:t>
            </w:r>
          </w:p>
          <w:p w14:paraId="674AA42B" w14:textId="77777777" w:rsidR="00B12E49" w:rsidRPr="00B12E49" w:rsidRDefault="00B12E49" w:rsidP="00B12E49">
            <w:pPr>
              <w:rPr>
                <w:sz w:val="18"/>
                <w:szCs w:val="18"/>
              </w:rPr>
            </w:pPr>
            <w:r w:rsidRPr="00B12E49">
              <w:rPr>
                <w:sz w:val="18"/>
                <w:szCs w:val="18"/>
              </w:rPr>
              <w:t>broad range of SDOH needs</w:t>
            </w:r>
          </w:p>
          <w:p w14:paraId="3588FAA9" w14:textId="77777777" w:rsidR="00B12E49" w:rsidRPr="00B12E49" w:rsidRDefault="00B12E49" w:rsidP="00B12E49">
            <w:pPr>
              <w:rPr>
                <w:sz w:val="18"/>
                <w:szCs w:val="18"/>
              </w:rPr>
            </w:pPr>
            <w:r w:rsidRPr="00B12E49">
              <w:rPr>
                <w:sz w:val="18"/>
                <w:szCs w:val="18"/>
              </w:rPr>
              <w:t>patients linked to social</w:t>
            </w:r>
          </w:p>
          <w:p w14:paraId="6304F498" w14:textId="77777777" w:rsidR="00B12E49" w:rsidRPr="00B12E49" w:rsidRDefault="00B12E49" w:rsidP="00B12E49">
            <w:pPr>
              <w:rPr>
                <w:sz w:val="18"/>
                <w:szCs w:val="18"/>
              </w:rPr>
            </w:pPr>
            <w:r w:rsidRPr="00B12E49">
              <w:rPr>
                <w:sz w:val="18"/>
                <w:szCs w:val="18"/>
              </w:rPr>
              <w:t>service organizations/</w:t>
            </w:r>
          </w:p>
          <w:p w14:paraId="502844D5" w14:textId="77777777" w:rsidR="00B12E49" w:rsidRPr="00B12E49" w:rsidRDefault="00B12E49" w:rsidP="00B12E49">
            <w:pPr>
              <w:rPr>
                <w:sz w:val="18"/>
                <w:szCs w:val="18"/>
              </w:rPr>
            </w:pPr>
            <w:r w:rsidRPr="00B12E49">
              <w:rPr>
                <w:sz w:val="18"/>
                <w:szCs w:val="18"/>
              </w:rPr>
              <w:t>resources to help improve</w:t>
            </w:r>
          </w:p>
          <w:p w14:paraId="33E58283" w14:textId="77777777" w:rsidR="00B12E49" w:rsidRPr="00B12E49" w:rsidRDefault="00B12E49" w:rsidP="00B12E49">
            <w:pPr>
              <w:rPr>
                <w:sz w:val="18"/>
                <w:szCs w:val="18"/>
              </w:rPr>
            </w:pPr>
            <w:r w:rsidRPr="00B12E49">
              <w:rPr>
                <w:sz w:val="18"/>
                <w:szCs w:val="18"/>
              </w:rPr>
              <w:t>appointment adherence (e.g.,</w:t>
            </w:r>
          </w:p>
          <w:p w14:paraId="06CC9AFC" w14:textId="77777777" w:rsidR="00B12E49" w:rsidRPr="00B12E49" w:rsidRDefault="00B12E49" w:rsidP="00B12E49">
            <w:pPr>
              <w:rPr>
                <w:sz w:val="18"/>
                <w:szCs w:val="18"/>
              </w:rPr>
            </w:pPr>
            <w:r w:rsidRPr="00B12E49">
              <w:rPr>
                <w:sz w:val="18"/>
                <w:szCs w:val="18"/>
              </w:rPr>
              <w:t>childcare, transportation</w:t>
            </w:r>
          </w:p>
          <w:p w14:paraId="72625C48" w14:textId="77777777" w:rsidR="00B12E49" w:rsidRPr="00B12E49" w:rsidRDefault="00B12E49" w:rsidP="00B12E49">
            <w:pPr>
              <w:rPr>
                <w:sz w:val="18"/>
                <w:szCs w:val="18"/>
              </w:rPr>
            </w:pPr>
            <w:r w:rsidRPr="00B12E49">
              <w:rPr>
                <w:sz w:val="18"/>
                <w:szCs w:val="18"/>
              </w:rPr>
              <w:t>tokens), healthy food</w:t>
            </w:r>
          </w:p>
          <w:p w14:paraId="427B32D6" w14:textId="77777777" w:rsidR="00B12E49" w:rsidRPr="00B12E49" w:rsidRDefault="00B12E49" w:rsidP="00B12E49">
            <w:pPr>
              <w:rPr>
                <w:sz w:val="18"/>
                <w:szCs w:val="18"/>
              </w:rPr>
            </w:pPr>
            <w:r w:rsidRPr="00B12E49">
              <w:rPr>
                <w:sz w:val="18"/>
                <w:szCs w:val="18"/>
              </w:rPr>
              <w:t>sources (e.g., food pantry),</w:t>
            </w:r>
          </w:p>
          <w:p w14:paraId="4655BFF0" w14:textId="0B5A1F2D" w:rsidR="00CE2207" w:rsidRPr="00E337C0" w:rsidRDefault="00B12E49" w:rsidP="00B12E49">
            <w:pPr>
              <w:rPr>
                <w:b/>
                <w:bCs/>
                <w:sz w:val="18"/>
                <w:szCs w:val="18"/>
              </w:rPr>
            </w:pPr>
            <w:r w:rsidRPr="00B12E49">
              <w:rPr>
                <w:sz w:val="18"/>
                <w:szCs w:val="18"/>
              </w:rPr>
              <w:t>with f/u to close the loop.</w:t>
            </w:r>
          </w:p>
        </w:tc>
        <w:tc>
          <w:tcPr>
            <w:tcW w:w="1350" w:type="dxa"/>
          </w:tcPr>
          <w:p w14:paraId="62B12723" w14:textId="77777777" w:rsidR="00CE2207" w:rsidRPr="00E337C0" w:rsidRDefault="00CE2207" w:rsidP="00845310">
            <w:pPr>
              <w:rPr>
                <w:b/>
                <w:bCs/>
                <w:sz w:val="18"/>
                <w:szCs w:val="18"/>
              </w:rPr>
            </w:pPr>
          </w:p>
        </w:tc>
      </w:tr>
    </w:tbl>
    <w:p w14:paraId="254D06AD"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03496C2E" w14:textId="77777777" w:rsidR="009D2493" w:rsidRDefault="009D2493" w:rsidP="009D2493">
      <w:pPr>
        <w:rPr>
          <w:b/>
          <w:bCs/>
        </w:rPr>
      </w:pPr>
    </w:p>
    <w:p w14:paraId="47F49DBE" w14:textId="5F8B3B54" w:rsidR="00B12E49" w:rsidRPr="009827F6" w:rsidRDefault="00B12E49" w:rsidP="00B12E49">
      <w:r>
        <w:t>24.</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B12E49" w:rsidRPr="000453AD" w14:paraId="1BAF5361" w14:textId="77777777" w:rsidTr="00845310">
        <w:tc>
          <w:tcPr>
            <w:tcW w:w="2160" w:type="dxa"/>
            <w:shd w:val="clear" w:color="auto" w:fill="ED7D31" w:themeFill="accent2"/>
          </w:tcPr>
          <w:p w14:paraId="0E544E61" w14:textId="77777777" w:rsidR="00B12E49" w:rsidRPr="000453AD" w:rsidRDefault="00B12E49" w:rsidP="00845310">
            <w:pPr>
              <w:rPr>
                <w:b/>
                <w:bCs/>
              </w:rPr>
            </w:pPr>
            <w:r w:rsidRPr="000453AD">
              <w:rPr>
                <w:b/>
                <w:bCs/>
              </w:rPr>
              <w:t xml:space="preserve">Key Domains of Integrated Care </w:t>
            </w:r>
          </w:p>
        </w:tc>
        <w:tc>
          <w:tcPr>
            <w:tcW w:w="2250" w:type="dxa"/>
            <w:shd w:val="clear" w:color="auto" w:fill="ED7D31" w:themeFill="accent2"/>
          </w:tcPr>
          <w:p w14:paraId="534F963C" w14:textId="77777777" w:rsidR="00B12E49" w:rsidRPr="000453AD" w:rsidRDefault="00B12E49" w:rsidP="00845310">
            <w:pPr>
              <w:rPr>
                <w:b/>
                <w:bCs/>
              </w:rPr>
            </w:pPr>
            <w:r>
              <w:rPr>
                <w:b/>
                <w:bCs/>
              </w:rPr>
              <w:t>Sub-Domain</w:t>
            </w:r>
          </w:p>
        </w:tc>
        <w:tc>
          <w:tcPr>
            <w:tcW w:w="2070" w:type="dxa"/>
            <w:shd w:val="clear" w:color="auto" w:fill="8EAADB" w:themeFill="accent1" w:themeFillTint="99"/>
          </w:tcPr>
          <w:p w14:paraId="2F436213" w14:textId="77777777" w:rsidR="00B12E49" w:rsidRPr="000453AD" w:rsidRDefault="00B12E49" w:rsidP="00845310">
            <w:pPr>
              <w:rPr>
                <w:b/>
                <w:bCs/>
              </w:rPr>
            </w:pPr>
            <w:r w:rsidRPr="000453AD">
              <w:rPr>
                <w:b/>
                <w:bCs/>
              </w:rPr>
              <w:t>Preliminary</w:t>
            </w:r>
          </w:p>
        </w:tc>
        <w:tc>
          <w:tcPr>
            <w:tcW w:w="2070" w:type="dxa"/>
            <w:shd w:val="clear" w:color="auto" w:fill="8EAADB" w:themeFill="accent1" w:themeFillTint="99"/>
          </w:tcPr>
          <w:p w14:paraId="47164A6B" w14:textId="77777777" w:rsidR="00B12E49" w:rsidRPr="000453AD" w:rsidRDefault="00B12E49" w:rsidP="00845310">
            <w:pPr>
              <w:rPr>
                <w:b/>
                <w:bCs/>
              </w:rPr>
            </w:pPr>
            <w:r w:rsidRPr="000453AD">
              <w:rPr>
                <w:b/>
                <w:bCs/>
              </w:rPr>
              <w:t>Intermediate I.</w:t>
            </w:r>
          </w:p>
        </w:tc>
        <w:tc>
          <w:tcPr>
            <w:tcW w:w="2160" w:type="dxa"/>
            <w:shd w:val="clear" w:color="auto" w:fill="8EAADB" w:themeFill="accent1" w:themeFillTint="99"/>
          </w:tcPr>
          <w:p w14:paraId="3D31CAB4" w14:textId="77777777" w:rsidR="00B12E49" w:rsidRPr="000453AD" w:rsidRDefault="00B12E49" w:rsidP="00845310">
            <w:pPr>
              <w:rPr>
                <w:b/>
                <w:bCs/>
              </w:rPr>
            </w:pPr>
            <w:r w:rsidRPr="000453AD">
              <w:rPr>
                <w:b/>
                <w:bCs/>
              </w:rPr>
              <w:t>Intermediate II.</w:t>
            </w:r>
          </w:p>
        </w:tc>
        <w:tc>
          <w:tcPr>
            <w:tcW w:w="2430" w:type="dxa"/>
            <w:shd w:val="clear" w:color="auto" w:fill="8EAADB" w:themeFill="accent1" w:themeFillTint="99"/>
          </w:tcPr>
          <w:p w14:paraId="3A3A4172" w14:textId="77777777" w:rsidR="00B12E49" w:rsidRPr="005C14A9" w:rsidRDefault="00B12E49" w:rsidP="00845310">
            <w:pPr>
              <w:rPr>
                <w:b/>
                <w:bCs/>
              </w:rPr>
            </w:pPr>
            <w:r w:rsidRPr="005C14A9">
              <w:rPr>
                <w:b/>
                <w:bCs/>
              </w:rPr>
              <w:t>Advanced</w:t>
            </w:r>
          </w:p>
        </w:tc>
        <w:tc>
          <w:tcPr>
            <w:tcW w:w="1350" w:type="dxa"/>
          </w:tcPr>
          <w:p w14:paraId="67ED7506" w14:textId="77777777" w:rsidR="00B12E49" w:rsidRPr="000453AD" w:rsidRDefault="00B12E49" w:rsidP="00845310">
            <w:pPr>
              <w:rPr>
                <w:b/>
                <w:bCs/>
              </w:rPr>
            </w:pPr>
            <w:r w:rsidRPr="006870FB">
              <w:rPr>
                <w:b/>
                <w:bCs/>
                <w:sz w:val="20"/>
                <w:szCs w:val="20"/>
              </w:rPr>
              <w:t>Self-Assessed Level</w:t>
            </w:r>
          </w:p>
        </w:tc>
      </w:tr>
      <w:tr w:rsidR="009051D2" w:rsidRPr="00E337C0" w14:paraId="5063CF91" w14:textId="77777777" w:rsidTr="00845310">
        <w:tc>
          <w:tcPr>
            <w:tcW w:w="2160" w:type="dxa"/>
            <w:shd w:val="clear" w:color="auto" w:fill="F4B083" w:themeFill="accent2" w:themeFillTint="99"/>
          </w:tcPr>
          <w:p w14:paraId="301E6ECE" w14:textId="3A891CCB" w:rsidR="009051D2" w:rsidRPr="004B2444" w:rsidRDefault="009051D2" w:rsidP="009051D2">
            <w:pPr>
              <w:rPr>
                <w:sz w:val="18"/>
                <w:szCs w:val="18"/>
              </w:rPr>
            </w:pPr>
            <w:r w:rsidRPr="00A916CF">
              <w:rPr>
                <w:sz w:val="18"/>
                <w:szCs w:val="18"/>
              </w:rPr>
              <w:t>8. Sustainability</w:t>
            </w:r>
          </w:p>
        </w:tc>
        <w:tc>
          <w:tcPr>
            <w:tcW w:w="2250" w:type="dxa"/>
            <w:shd w:val="clear" w:color="auto" w:fill="F4B083" w:themeFill="accent2" w:themeFillTint="99"/>
          </w:tcPr>
          <w:p w14:paraId="1A8DA204" w14:textId="21A8852D" w:rsidR="009051D2" w:rsidRPr="0026544A" w:rsidRDefault="009051D2" w:rsidP="009051D2">
            <w:pPr>
              <w:rPr>
                <w:sz w:val="18"/>
                <w:szCs w:val="18"/>
              </w:rPr>
            </w:pPr>
            <w:r w:rsidRPr="00730D39">
              <w:rPr>
                <w:sz w:val="18"/>
                <w:szCs w:val="18"/>
              </w:rPr>
              <w:t>8.1 Build process for billing and outcome reporting to support sustainability of integration efforts</w:t>
            </w:r>
          </w:p>
        </w:tc>
        <w:tc>
          <w:tcPr>
            <w:tcW w:w="2070" w:type="dxa"/>
            <w:shd w:val="clear" w:color="auto" w:fill="B4C6E7" w:themeFill="accent1" w:themeFillTint="66"/>
          </w:tcPr>
          <w:p w14:paraId="468D2A60" w14:textId="53A4FF3D" w:rsidR="009051D2" w:rsidRPr="00E337C0" w:rsidRDefault="009051D2" w:rsidP="009051D2">
            <w:pPr>
              <w:rPr>
                <w:b/>
                <w:bCs/>
                <w:sz w:val="18"/>
                <w:szCs w:val="18"/>
              </w:rPr>
            </w:pPr>
            <w:r w:rsidRPr="0091131B">
              <w:rPr>
                <w:sz w:val="18"/>
                <w:szCs w:val="18"/>
              </w:rPr>
              <w:t>No or minimal attempts to bill for immunizations, screening and treatment. Services supported primarily by grants or other non-reimbursable sources.</w:t>
            </w:r>
          </w:p>
        </w:tc>
        <w:tc>
          <w:tcPr>
            <w:tcW w:w="2070" w:type="dxa"/>
            <w:shd w:val="clear" w:color="auto" w:fill="B4C6E7" w:themeFill="accent1" w:themeFillTint="66"/>
          </w:tcPr>
          <w:p w14:paraId="309F842F" w14:textId="4CE622D4" w:rsidR="009051D2" w:rsidRPr="00EE6DEB" w:rsidRDefault="009051D2" w:rsidP="009051D2">
            <w:pPr>
              <w:rPr>
                <w:b/>
                <w:bCs/>
                <w:sz w:val="18"/>
                <w:szCs w:val="18"/>
              </w:rPr>
            </w:pPr>
            <w:r w:rsidRPr="00EE6DEB">
              <w:rPr>
                <w:sz w:val="18"/>
                <w:szCs w:val="18"/>
              </w:rPr>
              <w:t>Billing for screening and treatment services (e.g., HbA1c, preventive care, blood pressure monitoring) under fee-for-services with process in place for tracking reimbursements for general health care services.</w:t>
            </w:r>
          </w:p>
        </w:tc>
        <w:tc>
          <w:tcPr>
            <w:tcW w:w="2160" w:type="dxa"/>
            <w:shd w:val="clear" w:color="auto" w:fill="B4C6E7" w:themeFill="accent1" w:themeFillTint="66"/>
          </w:tcPr>
          <w:p w14:paraId="729EDAB5" w14:textId="3D08F1DE" w:rsidR="009051D2" w:rsidRPr="00E337C0" w:rsidRDefault="009051D2" w:rsidP="009051D2">
            <w:pPr>
              <w:rPr>
                <w:b/>
                <w:bCs/>
                <w:sz w:val="18"/>
                <w:szCs w:val="18"/>
              </w:rPr>
            </w:pPr>
            <w:r w:rsidRPr="001C5FC2">
              <w:rPr>
                <w:sz w:val="18"/>
                <w:szCs w:val="18"/>
              </w:rPr>
              <w:t>Fee-for-service billing as well as revenue from quality incentives related to physical health (e.g., diabetes and CV monitoring, tobacco screening). Able to bill for both primary care services and BH services.</w:t>
            </w:r>
          </w:p>
        </w:tc>
        <w:tc>
          <w:tcPr>
            <w:tcW w:w="2430" w:type="dxa"/>
            <w:shd w:val="clear" w:color="auto" w:fill="B4C6E7" w:themeFill="accent1" w:themeFillTint="66"/>
          </w:tcPr>
          <w:p w14:paraId="162A848F" w14:textId="5BFBFFAF" w:rsidR="009051D2" w:rsidRPr="009051D2" w:rsidRDefault="009051D2" w:rsidP="009051D2">
            <w:pPr>
              <w:rPr>
                <w:b/>
                <w:bCs/>
                <w:sz w:val="18"/>
                <w:szCs w:val="18"/>
              </w:rPr>
            </w:pPr>
            <w:r w:rsidRPr="009051D2">
              <w:rPr>
                <w:sz w:val="18"/>
                <w:szCs w:val="18"/>
              </w:rPr>
              <w:t>Receipt of value-based payments (shared savings) that reference achievement of BH and general health outcomes. Revenue helps support integrated physical health services and workforce.</w:t>
            </w:r>
          </w:p>
        </w:tc>
        <w:tc>
          <w:tcPr>
            <w:tcW w:w="1350" w:type="dxa"/>
          </w:tcPr>
          <w:p w14:paraId="782C23BC" w14:textId="77777777" w:rsidR="009051D2" w:rsidRPr="00E337C0" w:rsidRDefault="009051D2" w:rsidP="009051D2">
            <w:pPr>
              <w:rPr>
                <w:b/>
                <w:bCs/>
                <w:sz w:val="18"/>
                <w:szCs w:val="18"/>
              </w:rPr>
            </w:pPr>
          </w:p>
        </w:tc>
      </w:tr>
    </w:tbl>
    <w:p w14:paraId="592D0542" w14:textId="77777777" w:rsidR="001302A3" w:rsidRPr="00B64EAD" w:rsidRDefault="001302A3" w:rsidP="001302A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32C7D4DD" w14:textId="77777777" w:rsidR="009D2493" w:rsidRDefault="009D2493" w:rsidP="009D2493">
      <w:pPr>
        <w:rPr>
          <w:b/>
          <w:bCs/>
        </w:rPr>
      </w:pPr>
    </w:p>
    <w:p w14:paraId="7557C10D" w14:textId="01180078" w:rsidR="00B12E49" w:rsidRPr="009827F6" w:rsidRDefault="00B12E49" w:rsidP="00B12E49">
      <w:r>
        <w:t>2</w:t>
      </w:r>
      <w:r w:rsidR="00CF5847">
        <w:t>5</w:t>
      </w:r>
      <w:r>
        <w:t>.</w:t>
      </w:r>
    </w:p>
    <w:tbl>
      <w:tblPr>
        <w:tblStyle w:val="TableGrid"/>
        <w:tblW w:w="14490" w:type="dxa"/>
        <w:tblInd w:w="-185" w:type="dxa"/>
        <w:tblLayout w:type="fixed"/>
        <w:tblLook w:val="04A0" w:firstRow="1" w:lastRow="0" w:firstColumn="1" w:lastColumn="0" w:noHBand="0" w:noVBand="1"/>
      </w:tblPr>
      <w:tblGrid>
        <w:gridCol w:w="2160"/>
        <w:gridCol w:w="2250"/>
        <w:gridCol w:w="2070"/>
        <w:gridCol w:w="2070"/>
        <w:gridCol w:w="2160"/>
        <w:gridCol w:w="2430"/>
        <w:gridCol w:w="1350"/>
      </w:tblGrid>
      <w:tr w:rsidR="00B12E49" w:rsidRPr="000453AD" w14:paraId="17B90FC6" w14:textId="77777777" w:rsidTr="00845310">
        <w:tc>
          <w:tcPr>
            <w:tcW w:w="2160" w:type="dxa"/>
            <w:shd w:val="clear" w:color="auto" w:fill="ED7D31" w:themeFill="accent2"/>
          </w:tcPr>
          <w:p w14:paraId="4296123F" w14:textId="77777777" w:rsidR="00B12E49" w:rsidRPr="000453AD" w:rsidRDefault="00B12E49" w:rsidP="00845310">
            <w:pPr>
              <w:rPr>
                <w:b/>
                <w:bCs/>
              </w:rPr>
            </w:pPr>
            <w:r w:rsidRPr="000453AD">
              <w:rPr>
                <w:b/>
                <w:bCs/>
              </w:rPr>
              <w:t xml:space="preserve">Key Domains of Integrated Care </w:t>
            </w:r>
          </w:p>
        </w:tc>
        <w:tc>
          <w:tcPr>
            <w:tcW w:w="2250" w:type="dxa"/>
            <w:shd w:val="clear" w:color="auto" w:fill="ED7D31" w:themeFill="accent2"/>
          </w:tcPr>
          <w:p w14:paraId="1246E4EA" w14:textId="77777777" w:rsidR="00B12E49" w:rsidRPr="000453AD" w:rsidRDefault="00B12E49" w:rsidP="00845310">
            <w:pPr>
              <w:rPr>
                <w:b/>
                <w:bCs/>
              </w:rPr>
            </w:pPr>
            <w:r>
              <w:rPr>
                <w:b/>
                <w:bCs/>
              </w:rPr>
              <w:t>Sub-Domain</w:t>
            </w:r>
          </w:p>
        </w:tc>
        <w:tc>
          <w:tcPr>
            <w:tcW w:w="2070" w:type="dxa"/>
            <w:shd w:val="clear" w:color="auto" w:fill="8EAADB" w:themeFill="accent1" w:themeFillTint="99"/>
          </w:tcPr>
          <w:p w14:paraId="44C8994F" w14:textId="77777777" w:rsidR="00B12E49" w:rsidRPr="000453AD" w:rsidRDefault="00B12E49" w:rsidP="00845310">
            <w:pPr>
              <w:rPr>
                <w:b/>
                <w:bCs/>
              </w:rPr>
            </w:pPr>
            <w:r w:rsidRPr="000453AD">
              <w:rPr>
                <w:b/>
                <w:bCs/>
              </w:rPr>
              <w:t>Preliminary</w:t>
            </w:r>
          </w:p>
        </w:tc>
        <w:tc>
          <w:tcPr>
            <w:tcW w:w="2070" w:type="dxa"/>
            <w:shd w:val="clear" w:color="auto" w:fill="8EAADB" w:themeFill="accent1" w:themeFillTint="99"/>
          </w:tcPr>
          <w:p w14:paraId="5EAE3D4B" w14:textId="77777777" w:rsidR="00B12E49" w:rsidRPr="000453AD" w:rsidRDefault="00B12E49" w:rsidP="00845310">
            <w:pPr>
              <w:rPr>
                <w:b/>
                <w:bCs/>
              </w:rPr>
            </w:pPr>
            <w:r w:rsidRPr="000453AD">
              <w:rPr>
                <w:b/>
                <w:bCs/>
              </w:rPr>
              <w:t>Intermediate I.</w:t>
            </w:r>
          </w:p>
        </w:tc>
        <w:tc>
          <w:tcPr>
            <w:tcW w:w="2160" w:type="dxa"/>
            <w:shd w:val="clear" w:color="auto" w:fill="8EAADB" w:themeFill="accent1" w:themeFillTint="99"/>
          </w:tcPr>
          <w:p w14:paraId="5D725F07" w14:textId="77777777" w:rsidR="00B12E49" w:rsidRPr="000453AD" w:rsidRDefault="00B12E49" w:rsidP="00845310">
            <w:pPr>
              <w:rPr>
                <w:b/>
                <w:bCs/>
              </w:rPr>
            </w:pPr>
            <w:r w:rsidRPr="000453AD">
              <w:rPr>
                <w:b/>
                <w:bCs/>
              </w:rPr>
              <w:t>Intermediate II.</w:t>
            </w:r>
          </w:p>
        </w:tc>
        <w:tc>
          <w:tcPr>
            <w:tcW w:w="2430" w:type="dxa"/>
            <w:shd w:val="clear" w:color="auto" w:fill="8EAADB" w:themeFill="accent1" w:themeFillTint="99"/>
          </w:tcPr>
          <w:p w14:paraId="07B48842" w14:textId="77777777" w:rsidR="00B12E49" w:rsidRPr="005C14A9" w:rsidRDefault="00B12E49" w:rsidP="00845310">
            <w:pPr>
              <w:rPr>
                <w:b/>
                <w:bCs/>
              </w:rPr>
            </w:pPr>
            <w:r w:rsidRPr="005C14A9">
              <w:rPr>
                <w:b/>
                <w:bCs/>
              </w:rPr>
              <w:t>Advanced</w:t>
            </w:r>
          </w:p>
        </w:tc>
        <w:tc>
          <w:tcPr>
            <w:tcW w:w="1350" w:type="dxa"/>
          </w:tcPr>
          <w:p w14:paraId="33DBF0FE" w14:textId="77777777" w:rsidR="00B12E49" w:rsidRPr="000453AD" w:rsidRDefault="00B12E49" w:rsidP="00845310">
            <w:pPr>
              <w:rPr>
                <w:b/>
                <w:bCs/>
              </w:rPr>
            </w:pPr>
            <w:r w:rsidRPr="006870FB">
              <w:rPr>
                <w:b/>
                <w:bCs/>
                <w:sz w:val="20"/>
                <w:szCs w:val="20"/>
              </w:rPr>
              <w:t>Self-Assessed Level</w:t>
            </w:r>
          </w:p>
        </w:tc>
      </w:tr>
      <w:tr w:rsidR="008275D2" w:rsidRPr="00E337C0" w14:paraId="2F539586" w14:textId="77777777" w:rsidTr="00845310">
        <w:tc>
          <w:tcPr>
            <w:tcW w:w="2160" w:type="dxa"/>
            <w:shd w:val="clear" w:color="auto" w:fill="F4B083" w:themeFill="accent2" w:themeFillTint="99"/>
          </w:tcPr>
          <w:p w14:paraId="319EEE0E" w14:textId="7F898D57" w:rsidR="008275D2" w:rsidRPr="004B2444" w:rsidRDefault="008275D2" w:rsidP="008275D2">
            <w:pPr>
              <w:rPr>
                <w:sz w:val="18"/>
                <w:szCs w:val="18"/>
              </w:rPr>
            </w:pPr>
            <w:r w:rsidRPr="00A916CF">
              <w:rPr>
                <w:sz w:val="18"/>
                <w:szCs w:val="18"/>
              </w:rPr>
              <w:t>8. Sustainability</w:t>
            </w:r>
          </w:p>
        </w:tc>
        <w:tc>
          <w:tcPr>
            <w:tcW w:w="2250" w:type="dxa"/>
            <w:shd w:val="clear" w:color="auto" w:fill="F4B083" w:themeFill="accent2" w:themeFillTint="99"/>
          </w:tcPr>
          <w:p w14:paraId="391F61BC" w14:textId="7D206499" w:rsidR="008275D2" w:rsidRPr="0026544A" w:rsidRDefault="008275D2" w:rsidP="008275D2">
            <w:pPr>
              <w:rPr>
                <w:sz w:val="18"/>
                <w:szCs w:val="18"/>
              </w:rPr>
            </w:pPr>
            <w:r w:rsidRPr="00117852">
              <w:rPr>
                <w:sz w:val="18"/>
                <w:szCs w:val="18"/>
              </w:rPr>
              <w:t>8.2 Build process for expanding regulatory and/or licensure opportunities</w:t>
            </w:r>
          </w:p>
        </w:tc>
        <w:tc>
          <w:tcPr>
            <w:tcW w:w="2070" w:type="dxa"/>
            <w:shd w:val="clear" w:color="auto" w:fill="B4C6E7" w:themeFill="accent1" w:themeFillTint="66"/>
          </w:tcPr>
          <w:p w14:paraId="03F52A30" w14:textId="31A42739" w:rsidR="008275D2" w:rsidRPr="00E337C0" w:rsidRDefault="008275D2" w:rsidP="008275D2">
            <w:pPr>
              <w:rPr>
                <w:b/>
                <w:bCs/>
                <w:sz w:val="18"/>
                <w:szCs w:val="18"/>
              </w:rPr>
            </w:pPr>
            <w:r w:rsidRPr="00CA1007">
              <w:rPr>
                <w:sz w:val="18"/>
                <w:szCs w:val="18"/>
              </w:rPr>
              <w:t>No primary care arrangements that offer physical health services through linkage or partnership.</w:t>
            </w:r>
          </w:p>
        </w:tc>
        <w:tc>
          <w:tcPr>
            <w:tcW w:w="2070" w:type="dxa"/>
            <w:shd w:val="clear" w:color="auto" w:fill="B4C6E7" w:themeFill="accent1" w:themeFillTint="66"/>
          </w:tcPr>
          <w:p w14:paraId="6F603273" w14:textId="468ED16D" w:rsidR="008275D2" w:rsidRPr="008275D2" w:rsidRDefault="008275D2" w:rsidP="008275D2">
            <w:pPr>
              <w:rPr>
                <w:b/>
                <w:bCs/>
                <w:sz w:val="18"/>
                <w:szCs w:val="18"/>
              </w:rPr>
            </w:pPr>
            <w:r w:rsidRPr="008275D2">
              <w:rPr>
                <w:sz w:val="18"/>
                <w:szCs w:val="18"/>
              </w:rPr>
              <w:t>Informal primary care arrangements that incorporate the basic array (e.g. appointment availability, feedback on engagement, report on required blood work) of desired physical health services.</w:t>
            </w:r>
          </w:p>
        </w:tc>
        <w:tc>
          <w:tcPr>
            <w:tcW w:w="2160" w:type="dxa"/>
            <w:shd w:val="clear" w:color="auto" w:fill="B4C6E7" w:themeFill="accent1" w:themeFillTint="66"/>
          </w:tcPr>
          <w:p w14:paraId="587C5CC3" w14:textId="5AEF5969" w:rsidR="008275D2" w:rsidRPr="00BF55FF" w:rsidRDefault="00176C61" w:rsidP="00176C61">
            <w:pPr>
              <w:rPr>
                <w:sz w:val="18"/>
                <w:szCs w:val="18"/>
              </w:rPr>
            </w:pPr>
            <w:r w:rsidRPr="00176C61">
              <w:rPr>
                <w:sz w:val="18"/>
                <w:szCs w:val="18"/>
              </w:rPr>
              <w:t>Consistent availability of primary care access, internal or</w:t>
            </w:r>
            <w:r>
              <w:rPr>
                <w:sz w:val="18"/>
                <w:szCs w:val="18"/>
              </w:rPr>
              <w:t xml:space="preserve"> </w:t>
            </w:r>
            <w:r w:rsidRPr="00176C61">
              <w:rPr>
                <w:sz w:val="18"/>
                <w:szCs w:val="18"/>
              </w:rPr>
              <w:t>external, with telehealth if</w:t>
            </w:r>
            <w:r>
              <w:rPr>
                <w:sz w:val="18"/>
                <w:szCs w:val="18"/>
              </w:rPr>
              <w:t xml:space="preserve"> </w:t>
            </w:r>
            <w:r w:rsidRPr="00176C61">
              <w:rPr>
                <w:sz w:val="18"/>
                <w:szCs w:val="18"/>
              </w:rPr>
              <w:t>appropriate that incorporate</w:t>
            </w:r>
            <w:r>
              <w:rPr>
                <w:sz w:val="18"/>
                <w:szCs w:val="18"/>
              </w:rPr>
              <w:t xml:space="preserve"> </w:t>
            </w:r>
            <w:r w:rsidRPr="00176C61">
              <w:rPr>
                <w:sz w:val="18"/>
                <w:szCs w:val="18"/>
              </w:rPr>
              <w:t>patient centered home services.</w:t>
            </w:r>
          </w:p>
        </w:tc>
        <w:tc>
          <w:tcPr>
            <w:tcW w:w="2430" w:type="dxa"/>
            <w:shd w:val="clear" w:color="auto" w:fill="B4C6E7" w:themeFill="accent1" w:themeFillTint="66"/>
          </w:tcPr>
          <w:p w14:paraId="596E8B0D" w14:textId="0A75ECBA" w:rsidR="008275D2" w:rsidRPr="00E337C0" w:rsidRDefault="00CF5847" w:rsidP="008275D2">
            <w:pPr>
              <w:rPr>
                <w:b/>
                <w:bCs/>
                <w:sz w:val="18"/>
                <w:szCs w:val="18"/>
              </w:rPr>
            </w:pPr>
            <w:r w:rsidRPr="00CF5847">
              <w:rPr>
                <w:sz w:val="18"/>
                <w:szCs w:val="18"/>
              </w:rPr>
              <w:t>Maintain appropriate dual licensure (</w:t>
            </w:r>
            <w:hyperlink r:id="rId27" w:history="1">
              <w:r w:rsidRPr="00CF5847">
                <w:rPr>
                  <w:rStyle w:val="Hyperlink"/>
                  <w:sz w:val="18"/>
                  <w:szCs w:val="18"/>
                </w:rPr>
                <w:t>WAC chapter 246-320</w:t>
              </w:r>
            </w:hyperlink>
            <w:r w:rsidRPr="00CF5847">
              <w:rPr>
                <w:sz w:val="18"/>
                <w:szCs w:val="18"/>
              </w:rPr>
              <w:t xml:space="preserve"> &amp; </w:t>
            </w:r>
            <w:hyperlink r:id="rId28" w:history="1">
              <w:r w:rsidRPr="00CF5847">
                <w:rPr>
                  <w:rStyle w:val="Hyperlink"/>
                  <w:sz w:val="18"/>
                  <w:szCs w:val="18"/>
                </w:rPr>
                <w:t>RCW 70.41</w:t>
              </w:r>
            </w:hyperlink>
            <w:r w:rsidRPr="00CF5847">
              <w:rPr>
                <w:sz w:val="18"/>
                <w:szCs w:val="18"/>
              </w:rPr>
              <w:t xml:space="preserve"> and </w:t>
            </w:r>
            <w:hyperlink r:id="rId29" w:history="1">
              <w:r w:rsidRPr="00CF5847">
                <w:rPr>
                  <w:rStyle w:val="Hyperlink"/>
                  <w:sz w:val="18"/>
                  <w:szCs w:val="18"/>
                </w:rPr>
                <w:t>RCW 71.24</w:t>
              </w:r>
            </w:hyperlink>
            <w:r w:rsidRPr="00CF5847">
              <w:rPr>
                <w:sz w:val="18"/>
                <w:szCs w:val="18"/>
              </w:rPr>
              <w:t xml:space="preserve"> &amp; </w:t>
            </w:r>
            <w:hyperlink r:id="rId30" w:history="1">
              <w:r w:rsidRPr="00CF5847">
                <w:rPr>
                  <w:rStyle w:val="Hyperlink"/>
                  <w:sz w:val="18"/>
                  <w:szCs w:val="18"/>
                </w:rPr>
                <w:t>WAC 246-341</w:t>
              </w:r>
            </w:hyperlink>
            <w:r w:rsidRPr="00CF5847">
              <w:rPr>
                <w:sz w:val="18"/>
                <w:szCs w:val="18"/>
              </w:rPr>
              <w:t>) for integrated physical and behavioral health services in a shared services setting and regularly assess the need for administrative or clinical updates as licensure requirements evolve.</w:t>
            </w:r>
          </w:p>
        </w:tc>
        <w:tc>
          <w:tcPr>
            <w:tcW w:w="1350" w:type="dxa"/>
          </w:tcPr>
          <w:p w14:paraId="00D96711" w14:textId="77777777" w:rsidR="008275D2" w:rsidRPr="00E337C0" w:rsidRDefault="008275D2" w:rsidP="008275D2">
            <w:pPr>
              <w:rPr>
                <w:b/>
                <w:bCs/>
                <w:sz w:val="18"/>
                <w:szCs w:val="18"/>
              </w:rPr>
            </w:pPr>
          </w:p>
        </w:tc>
      </w:tr>
    </w:tbl>
    <w:p w14:paraId="5A908554" w14:textId="4627E19A" w:rsidR="00B12E49" w:rsidRPr="00864C84" w:rsidRDefault="001302A3" w:rsidP="009D2493">
      <w:r>
        <w:t>If applicable, p</w:t>
      </w:r>
      <w:r w:rsidRPr="00B64EAD">
        <w:t>lease share</w:t>
      </w:r>
      <w:r>
        <w:t xml:space="preserve"> your thoughts or comments on this question, including</w:t>
      </w:r>
      <w:r w:rsidRPr="00B64EAD">
        <w:t xml:space="preserve"> </w:t>
      </w:r>
      <w:r>
        <w:t xml:space="preserve">any barriers you may have encountered as you assessed your organization on this subdomain and what resources are needed to advance on the continuum. </w:t>
      </w:r>
    </w:p>
    <w:p w14:paraId="373DE5F3" w14:textId="77777777" w:rsidR="009D2493" w:rsidRPr="005D2496" w:rsidRDefault="009D2493" w:rsidP="009D2493">
      <w:pPr>
        <w:rPr>
          <w:i/>
          <w:iCs/>
        </w:rPr>
      </w:pPr>
    </w:p>
    <w:p w14:paraId="5CAB6694" w14:textId="174EF3FB" w:rsidR="009D2493" w:rsidRDefault="009D2493" w:rsidP="009D2493">
      <w:pPr>
        <w:spacing w:after="0"/>
      </w:pPr>
      <w:r>
        <w:t>2</w:t>
      </w:r>
      <w:r w:rsidR="00CF5847">
        <w:t>6</w:t>
      </w:r>
      <w:r>
        <w:t>. What are the top three challenges your clinical site faces in advancing integration?</w:t>
      </w:r>
    </w:p>
    <w:p w14:paraId="368B2AA9" w14:textId="77777777" w:rsidR="009D2493" w:rsidRDefault="009D2493" w:rsidP="009D2493">
      <w:pPr>
        <w:pStyle w:val="ListParagraph"/>
        <w:numPr>
          <w:ilvl w:val="2"/>
          <w:numId w:val="6"/>
        </w:numPr>
        <w:spacing w:after="0"/>
      </w:pPr>
      <w:r>
        <w:t>Financial Support</w:t>
      </w:r>
    </w:p>
    <w:p w14:paraId="13F068A5" w14:textId="77777777" w:rsidR="009D2493" w:rsidRDefault="009D2493" w:rsidP="009D2493">
      <w:pPr>
        <w:pStyle w:val="ListParagraph"/>
        <w:numPr>
          <w:ilvl w:val="2"/>
          <w:numId w:val="6"/>
        </w:numPr>
        <w:spacing w:after="0"/>
      </w:pPr>
      <w:r>
        <w:t>Leadership support</w:t>
      </w:r>
    </w:p>
    <w:p w14:paraId="08EB2DDA" w14:textId="77777777" w:rsidR="009D2493" w:rsidRDefault="009D2493" w:rsidP="009D2493">
      <w:pPr>
        <w:pStyle w:val="ListParagraph"/>
        <w:numPr>
          <w:ilvl w:val="2"/>
          <w:numId w:val="6"/>
        </w:numPr>
        <w:spacing w:after="0"/>
      </w:pPr>
      <w:r>
        <w:t>Partnerships with other clinical providers</w:t>
      </w:r>
    </w:p>
    <w:p w14:paraId="414AC89B" w14:textId="77777777" w:rsidR="009D2493" w:rsidRDefault="009D2493" w:rsidP="009D2493">
      <w:pPr>
        <w:pStyle w:val="ListParagraph"/>
        <w:numPr>
          <w:ilvl w:val="2"/>
          <w:numId w:val="6"/>
        </w:numPr>
        <w:spacing w:after="0"/>
      </w:pPr>
      <w:r>
        <w:t>Technology</w:t>
      </w:r>
    </w:p>
    <w:p w14:paraId="6CFEB5ED" w14:textId="77777777" w:rsidR="009D2493" w:rsidRDefault="009D2493" w:rsidP="009D2493">
      <w:pPr>
        <w:pStyle w:val="ListParagraph"/>
        <w:numPr>
          <w:ilvl w:val="2"/>
          <w:numId w:val="6"/>
        </w:numPr>
        <w:spacing w:after="0"/>
      </w:pPr>
      <w:r>
        <w:t>Workforce</w:t>
      </w:r>
    </w:p>
    <w:p w14:paraId="02963A37" w14:textId="77777777" w:rsidR="009D2493" w:rsidRDefault="009D2493" w:rsidP="009D2493">
      <w:pPr>
        <w:pStyle w:val="ListParagraph"/>
        <w:numPr>
          <w:ilvl w:val="2"/>
          <w:numId w:val="6"/>
        </w:numPr>
        <w:spacing w:after="0"/>
      </w:pPr>
      <w:r>
        <w:t>Other (please specify)</w:t>
      </w:r>
    </w:p>
    <w:p w14:paraId="5843FFDC" w14:textId="77777777" w:rsidR="009D2493" w:rsidRDefault="009D2493" w:rsidP="009D2493">
      <w:pPr>
        <w:pStyle w:val="ListParagraph"/>
        <w:spacing w:after="0"/>
        <w:ind w:left="2160"/>
      </w:pPr>
    </w:p>
    <w:p w14:paraId="43BB7763" w14:textId="77777777" w:rsidR="009D2493" w:rsidRPr="00CA1F76" w:rsidRDefault="009D2493" w:rsidP="009D2493">
      <w:pPr>
        <w:spacing w:after="0"/>
        <w:rPr>
          <w:i/>
          <w:iCs/>
        </w:rPr>
      </w:pPr>
      <w:r w:rsidRPr="00CA1F76">
        <w:rPr>
          <w:i/>
          <w:iCs/>
        </w:rPr>
        <w:t>If you would like to share more about the challenges you have selected please do so here. (free text box for short narrative).</w:t>
      </w:r>
    </w:p>
    <w:p w14:paraId="09DFE0FE" w14:textId="77777777" w:rsidR="009D2493" w:rsidRDefault="009D2493" w:rsidP="009D2493">
      <w:pPr>
        <w:pStyle w:val="ListParagraph"/>
        <w:spacing w:after="0"/>
        <w:ind w:left="2160"/>
      </w:pPr>
    </w:p>
    <w:p w14:paraId="6CC72372" w14:textId="5B27C82B" w:rsidR="009D2493" w:rsidRDefault="009D2493" w:rsidP="009D2493">
      <w:pPr>
        <w:rPr>
          <w:i/>
          <w:iCs/>
        </w:rPr>
      </w:pPr>
      <w:r>
        <w:t>2</w:t>
      </w:r>
      <w:r w:rsidR="00CF5847">
        <w:t>7</w:t>
      </w:r>
      <w:r>
        <w:t xml:space="preserve">. What resources/support does your clinical site need to advance integration? </w:t>
      </w:r>
      <w:r w:rsidRPr="00A01968">
        <w:rPr>
          <w:i/>
          <w:iCs/>
        </w:rPr>
        <w:t>(short narrative)</w:t>
      </w:r>
    </w:p>
    <w:p w14:paraId="2EA7CEF1" w14:textId="77777777" w:rsidR="009D2493" w:rsidRDefault="009D2493" w:rsidP="009D2493">
      <w:pPr>
        <w:rPr>
          <w:i/>
          <w:iCs/>
        </w:rPr>
      </w:pPr>
    </w:p>
    <w:p w14:paraId="76BAB735" w14:textId="77777777" w:rsidR="009D2493" w:rsidRDefault="009D2493" w:rsidP="009D2493">
      <w:r>
        <w:rPr>
          <w:i/>
          <w:iCs/>
        </w:rPr>
        <w:t xml:space="preserve">Please share any other comments or feedback you may have after completing the assessment tool. </w:t>
      </w:r>
    </w:p>
    <w:p w14:paraId="2DC78D62" w14:textId="52A3A343" w:rsidR="00CD494B" w:rsidRPr="009D2493" w:rsidRDefault="00CD494B" w:rsidP="009D2493"/>
    <w:sectPr w:rsidR="00CD494B" w:rsidRPr="009D2493" w:rsidSect="008673A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5352" w14:textId="77777777" w:rsidR="0041279F" w:rsidRDefault="0041279F" w:rsidP="007205B3">
      <w:pPr>
        <w:spacing w:after="0" w:line="240" w:lineRule="auto"/>
      </w:pPr>
      <w:r>
        <w:separator/>
      </w:r>
    </w:p>
  </w:endnote>
  <w:endnote w:type="continuationSeparator" w:id="0">
    <w:p w14:paraId="611FDC52" w14:textId="77777777" w:rsidR="0041279F" w:rsidRDefault="0041279F" w:rsidP="007205B3">
      <w:pPr>
        <w:spacing w:after="0" w:line="240" w:lineRule="auto"/>
      </w:pPr>
      <w:r>
        <w:continuationSeparator/>
      </w:r>
    </w:p>
  </w:endnote>
  <w:endnote w:id="1">
    <w:p w14:paraId="26C6E51A" w14:textId="77777777" w:rsidR="009E673C" w:rsidRPr="00EA2414" w:rsidRDefault="009E673C" w:rsidP="000763EE">
      <w:pPr>
        <w:spacing w:after="0"/>
        <w:rPr>
          <w:rFonts w:ascii="Calibri" w:eastAsia="Times New Roman" w:hAnsi="Calibri" w:cs="Calibri"/>
          <w:color w:val="000000"/>
          <w:sz w:val="18"/>
          <w:szCs w:val="18"/>
        </w:rPr>
      </w:pPr>
      <w:r w:rsidRPr="00EA2414">
        <w:rPr>
          <w:rStyle w:val="EndnoteReference"/>
          <w:sz w:val="18"/>
          <w:szCs w:val="18"/>
        </w:rPr>
        <w:endnoteRef/>
      </w:r>
      <w:r w:rsidRPr="00EA2414">
        <w:rPr>
          <w:sz w:val="18"/>
          <w:szCs w:val="18"/>
        </w:rPr>
        <w:t xml:space="preserve"> </w:t>
      </w:r>
      <w:r w:rsidRPr="00EA2414">
        <w:rPr>
          <w:rFonts w:ascii="Calibri" w:eastAsia="Times New Roman" w:hAnsi="Calibri" w:cs="Calibri"/>
          <w:color w:val="000000"/>
          <w:sz w:val="18"/>
          <w:szCs w:val="18"/>
        </w:rPr>
        <w:t>Individuals screened must receive follow up by a trained BH provider or PCP (external or co-located). For the purpose of the framework, primary care provider includes M.D., D.O., PA and NP.</w:t>
      </w:r>
    </w:p>
  </w:endnote>
  <w:endnote w:id="2">
    <w:p w14:paraId="567673DE" w14:textId="77777777" w:rsidR="009E673C" w:rsidRPr="00EA2414" w:rsidRDefault="009E673C" w:rsidP="00BA4FDC">
      <w:pPr>
        <w:spacing w:after="0"/>
        <w:rPr>
          <w:sz w:val="18"/>
          <w:szCs w:val="18"/>
        </w:rPr>
      </w:pPr>
      <w:r w:rsidRPr="00EA2414">
        <w:rPr>
          <w:rStyle w:val="EndnoteReference"/>
          <w:sz w:val="18"/>
          <w:szCs w:val="18"/>
        </w:rPr>
        <w:endnoteRef/>
      </w:r>
      <w:r w:rsidRPr="00EA2414">
        <w:rPr>
          <w:sz w:val="18"/>
          <w:szCs w:val="18"/>
        </w:rPr>
        <w:t xml:space="preserve"> Common general </w:t>
      </w:r>
      <w:r>
        <w:rPr>
          <w:sz w:val="18"/>
          <w:szCs w:val="18"/>
        </w:rPr>
        <w:t xml:space="preserve">health </w:t>
      </w:r>
      <w:r w:rsidRPr="00EA2414">
        <w:rPr>
          <w:sz w:val="18"/>
          <w:szCs w:val="18"/>
        </w:rPr>
        <w:t>conditions include diabetes, hypertension, hyperlipidemia, coronary artery disease, asthma, arthritis, gastrointestinal disease, tooth and gum disease.</w:t>
      </w:r>
    </w:p>
  </w:endnote>
  <w:endnote w:id="3">
    <w:p w14:paraId="52B14506" w14:textId="77777777" w:rsidR="009E673C" w:rsidRPr="00EA2414" w:rsidRDefault="009E673C" w:rsidP="00E54C2C">
      <w:pPr>
        <w:spacing w:after="0"/>
        <w:rPr>
          <w:sz w:val="18"/>
          <w:szCs w:val="18"/>
        </w:rPr>
      </w:pPr>
      <w:r w:rsidRPr="00EA2414">
        <w:rPr>
          <w:rStyle w:val="EndnoteReference"/>
          <w:sz w:val="18"/>
          <w:szCs w:val="18"/>
        </w:rPr>
        <w:endnoteRef/>
      </w:r>
      <w:r w:rsidRPr="00EA2414">
        <w:rPr>
          <w:sz w:val="18"/>
          <w:szCs w:val="18"/>
        </w:rPr>
        <w:t xml:space="preserve"> Universal general health risk factor screenings might include: visit with a PCP (defined as self-report of a usual source other than ED care with presence of one or more documented primary care visit during the past</w:t>
      </w:r>
    </w:p>
    <w:p w14:paraId="75B1D97C" w14:textId="77777777" w:rsidR="009E673C" w:rsidRPr="00EA2414" w:rsidRDefault="009E673C" w:rsidP="00E54C2C">
      <w:pPr>
        <w:spacing w:after="0"/>
        <w:rPr>
          <w:sz w:val="18"/>
          <w:szCs w:val="18"/>
        </w:rPr>
      </w:pPr>
      <w:r w:rsidRPr="00EA2414">
        <w:rPr>
          <w:sz w:val="18"/>
          <w:szCs w:val="18"/>
        </w:rPr>
        <w:t>year), depression, alcohol and substance use (including opioid use), blood pressure measurement, HIV, overweight/obesity, tobacco use and age appropriate screenings for cervical and colorectal cancer.</w:t>
      </w:r>
    </w:p>
  </w:endnote>
  <w:endnote w:id="4">
    <w:p w14:paraId="6348774E" w14:textId="77777777" w:rsidR="009E673C" w:rsidRPr="00EA2414" w:rsidRDefault="009E673C" w:rsidP="00BA4FDC">
      <w:pPr>
        <w:spacing w:after="0"/>
        <w:rPr>
          <w:sz w:val="18"/>
          <w:szCs w:val="18"/>
        </w:rPr>
      </w:pPr>
      <w:r w:rsidRPr="00EA2414">
        <w:rPr>
          <w:rStyle w:val="EndnoteReference"/>
          <w:sz w:val="18"/>
          <w:szCs w:val="18"/>
        </w:rPr>
        <w:endnoteRef/>
      </w:r>
      <w:r w:rsidRPr="00EA2414">
        <w:rPr>
          <w:sz w:val="18"/>
          <w:szCs w:val="18"/>
        </w:rPr>
        <w:t xml:space="preserve"> Targeted general health risk factor screenings might include: intimate partner violence, HbA1c, cholesterol, STI, hepatitis B, hepatitis C, tuberculosis and age appropriate screenings for immunizations, mammogram and</w:t>
      </w:r>
    </w:p>
    <w:p w14:paraId="6E15D342" w14:textId="77777777" w:rsidR="009E673C" w:rsidRPr="00EA2414" w:rsidRDefault="009E673C" w:rsidP="00BA4FDC">
      <w:pPr>
        <w:spacing w:after="0"/>
        <w:rPr>
          <w:sz w:val="18"/>
          <w:szCs w:val="18"/>
        </w:rPr>
      </w:pPr>
      <w:r w:rsidRPr="00EA2414">
        <w:rPr>
          <w:sz w:val="18"/>
          <w:szCs w:val="18"/>
        </w:rPr>
        <w:t>osteoporosis.</w:t>
      </w:r>
    </w:p>
  </w:endnote>
  <w:endnote w:id="5">
    <w:p w14:paraId="349465CB" w14:textId="77777777" w:rsidR="00461716" w:rsidRPr="00EA2414" w:rsidRDefault="00461716" w:rsidP="00461716">
      <w:pPr>
        <w:pStyle w:val="EndnoteText"/>
        <w:rPr>
          <w:sz w:val="18"/>
          <w:szCs w:val="18"/>
        </w:rPr>
      </w:pPr>
      <w:r w:rsidRPr="00EA2414">
        <w:rPr>
          <w:rStyle w:val="EndnoteReference"/>
          <w:sz w:val="18"/>
          <w:szCs w:val="18"/>
        </w:rPr>
        <w:endnoteRef/>
      </w:r>
      <w:r w:rsidRPr="00EA2414">
        <w:rPr>
          <w:sz w:val="18"/>
          <w:szCs w:val="18"/>
        </w:rPr>
        <w:t xml:space="preserve"> Embedded and co-located arrangements include PCPs available through telehealth services.</w:t>
      </w:r>
    </w:p>
  </w:endnote>
  <w:endnote w:id="6">
    <w:p w14:paraId="6844408B" w14:textId="77777777" w:rsidR="001617D1" w:rsidRPr="00EA2414" w:rsidRDefault="001617D1" w:rsidP="001617D1">
      <w:pPr>
        <w:spacing w:after="0"/>
        <w:rPr>
          <w:rFonts w:ascii="Calibri" w:eastAsia="Times New Roman" w:hAnsi="Calibri" w:cs="Calibri"/>
          <w:color w:val="000000"/>
          <w:sz w:val="18"/>
          <w:szCs w:val="18"/>
        </w:rPr>
      </w:pPr>
      <w:r w:rsidRPr="00EA2414">
        <w:rPr>
          <w:rStyle w:val="EndnoteReference"/>
          <w:sz w:val="18"/>
          <w:szCs w:val="18"/>
        </w:rPr>
        <w:endnoteRef/>
      </w:r>
      <w:r w:rsidRPr="00EA2414">
        <w:rPr>
          <w:sz w:val="18"/>
          <w:szCs w:val="18"/>
        </w:rPr>
        <w:t xml:space="preserve"> </w:t>
      </w:r>
      <w:r w:rsidRPr="00EA2414">
        <w:rPr>
          <w:rFonts w:ascii="Calibri" w:eastAsia="Times New Roman" w:hAnsi="Calibri" w:cs="Calibri"/>
          <w:color w:val="000000"/>
          <w:sz w:val="18"/>
          <w:szCs w:val="18"/>
        </w:rPr>
        <w:t>Family caregivers are part of team if appropriate to patient care.</w:t>
      </w:r>
    </w:p>
    <w:p w14:paraId="1D6CFF92" w14:textId="77777777" w:rsidR="001617D1" w:rsidRDefault="001617D1" w:rsidP="001617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46C9" w14:textId="77777777" w:rsidR="0041279F" w:rsidRDefault="0041279F" w:rsidP="007205B3">
      <w:pPr>
        <w:spacing w:after="0" w:line="240" w:lineRule="auto"/>
      </w:pPr>
      <w:r>
        <w:separator/>
      </w:r>
    </w:p>
  </w:footnote>
  <w:footnote w:type="continuationSeparator" w:id="0">
    <w:p w14:paraId="3E7132C1" w14:textId="77777777" w:rsidR="0041279F" w:rsidRDefault="0041279F" w:rsidP="00720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5D"/>
    <w:multiLevelType w:val="hybridMultilevel"/>
    <w:tmpl w:val="63EE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F6C"/>
    <w:multiLevelType w:val="hybridMultilevel"/>
    <w:tmpl w:val="C478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638A"/>
    <w:multiLevelType w:val="hybridMultilevel"/>
    <w:tmpl w:val="D3283E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7A78BE"/>
    <w:multiLevelType w:val="hybridMultilevel"/>
    <w:tmpl w:val="C3EE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0135"/>
    <w:multiLevelType w:val="hybridMultilevel"/>
    <w:tmpl w:val="1A766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92DB8"/>
    <w:multiLevelType w:val="hybridMultilevel"/>
    <w:tmpl w:val="D01A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2EAE"/>
    <w:multiLevelType w:val="hybridMultilevel"/>
    <w:tmpl w:val="018E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722480">
    <w:abstractNumId w:val="3"/>
  </w:num>
  <w:num w:numId="2" w16cid:durableId="1244531372">
    <w:abstractNumId w:val="1"/>
  </w:num>
  <w:num w:numId="3" w16cid:durableId="1376782734">
    <w:abstractNumId w:val="6"/>
  </w:num>
  <w:num w:numId="4" w16cid:durableId="1522552884">
    <w:abstractNumId w:val="0"/>
  </w:num>
  <w:num w:numId="5" w16cid:durableId="907304232">
    <w:abstractNumId w:val="2"/>
  </w:num>
  <w:num w:numId="6" w16cid:durableId="577982113">
    <w:abstractNumId w:val="5"/>
  </w:num>
  <w:num w:numId="7" w16cid:durableId="1251812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3C"/>
    <w:rsid w:val="00015602"/>
    <w:rsid w:val="00017207"/>
    <w:rsid w:val="00034F81"/>
    <w:rsid w:val="00036600"/>
    <w:rsid w:val="00054A5C"/>
    <w:rsid w:val="00073FFC"/>
    <w:rsid w:val="000763EE"/>
    <w:rsid w:val="00086082"/>
    <w:rsid w:val="0008726A"/>
    <w:rsid w:val="000904A9"/>
    <w:rsid w:val="00093B6B"/>
    <w:rsid w:val="00095030"/>
    <w:rsid w:val="000A7934"/>
    <w:rsid w:val="000B47F3"/>
    <w:rsid w:val="000F73AE"/>
    <w:rsid w:val="00117852"/>
    <w:rsid w:val="00121E47"/>
    <w:rsid w:val="001257BF"/>
    <w:rsid w:val="001302A3"/>
    <w:rsid w:val="0014423C"/>
    <w:rsid w:val="001617D1"/>
    <w:rsid w:val="0016426E"/>
    <w:rsid w:val="001722F9"/>
    <w:rsid w:val="00176C61"/>
    <w:rsid w:val="001839F2"/>
    <w:rsid w:val="001901C6"/>
    <w:rsid w:val="001C2651"/>
    <w:rsid w:val="001C5FC2"/>
    <w:rsid w:val="001E3925"/>
    <w:rsid w:val="002304F3"/>
    <w:rsid w:val="00234BCB"/>
    <w:rsid w:val="00266A2F"/>
    <w:rsid w:val="00267A39"/>
    <w:rsid w:val="002768D9"/>
    <w:rsid w:val="002964A6"/>
    <w:rsid w:val="002977BB"/>
    <w:rsid w:val="002A7A6F"/>
    <w:rsid w:val="002C35A2"/>
    <w:rsid w:val="002E21D0"/>
    <w:rsid w:val="002E253A"/>
    <w:rsid w:val="002E67B3"/>
    <w:rsid w:val="003008CC"/>
    <w:rsid w:val="0032659A"/>
    <w:rsid w:val="00354903"/>
    <w:rsid w:val="00381781"/>
    <w:rsid w:val="00382FA3"/>
    <w:rsid w:val="003D4F87"/>
    <w:rsid w:val="003D652E"/>
    <w:rsid w:val="003E2597"/>
    <w:rsid w:val="003E4A7C"/>
    <w:rsid w:val="003F10BF"/>
    <w:rsid w:val="003F1EE5"/>
    <w:rsid w:val="00404DB8"/>
    <w:rsid w:val="004061CD"/>
    <w:rsid w:val="0041279F"/>
    <w:rsid w:val="0041323E"/>
    <w:rsid w:val="0042286C"/>
    <w:rsid w:val="00436511"/>
    <w:rsid w:val="00440F66"/>
    <w:rsid w:val="004511AA"/>
    <w:rsid w:val="00461716"/>
    <w:rsid w:val="00473552"/>
    <w:rsid w:val="00495353"/>
    <w:rsid w:val="004C2BA6"/>
    <w:rsid w:val="004F1D6D"/>
    <w:rsid w:val="004F2822"/>
    <w:rsid w:val="004F5370"/>
    <w:rsid w:val="00500442"/>
    <w:rsid w:val="005061BC"/>
    <w:rsid w:val="005128A9"/>
    <w:rsid w:val="00564728"/>
    <w:rsid w:val="0057694B"/>
    <w:rsid w:val="00592EE3"/>
    <w:rsid w:val="005A47B7"/>
    <w:rsid w:val="005B10D0"/>
    <w:rsid w:val="005D0018"/>
    <w:rsid w:val="005F08B1"/>
    <w:rsid w:val="005F3FE6"/>
    <w:rsid w:val="00611271"/>
    <w:rsid w:val="006143D3"/>
    <w:rsid w:val="0065126E"/>
    <w:rsid w:val="00660608"/>
    <w:rsid w:val="00665B37"/>
    <w:rsid w:val="006823F6"/>
    <w:rsid w:val="00684C04"/>
    <w:rsid w:val="00685759"/>
    <w:rsid w:val="006A62C7"/>
    <w:rsid w:val="006C6D2D"/>
    <w:rsid w:val="006D59B7"/>
    <w:rsid w:val="007205B3"/>
    <w:rsid w:val="00730D39"/>
    <w:rsid w:val="007333A1"/>
    <w:rsid w:val="00733B5D"/>
    <w:rsid w:val="00737F90"/>
    <w:rsid w:val="007600C7"/>
    <w:rsid w:val="00761515"/>
    <w:rsid w:val="007644FF"/>
    <w:rsid w:val="00767C28"/>
    <w:rsid w:val="00781049"/>
    <w:rsid w:val="0079463A"/>
    <w:rsid w:val="007B2834"/>
    <w:rsid w:val="007C46D2"/>
    <w:rsid w:val="007F1723"/>
    <w:rsid w:val="007F5464"/>
    <w:rsid w:val="008144EE"/>
    <w:rsid w:val="00821745"/>
    <w:rsid w:val="008275D2"/>
    <w:rsid w:val="008310DC"/>
    <w:rsid w:val="008445EA"/>
    <w:rsid w:val="00854A89"/>
    <w:rsid w:val="00862564"/>
    <w:rsid w:val="00864C84"/>
    <w:rsid w:val="00865918"/>
    <w:rsid w:val="008727F6"/>
    <w:rsid w:val="00875079"/>
    <w:rsid w:val="0089181B"/>
    <w:rsid w:val="00897693"/>
    <w:rsid w:val="008A0DE9"/>
    <w:rsid w:val="008C33DE"/>
    <w:rsid w:val="008E2322"/>
    <w:rsid w:val="008F78E7"/>
    <w:rsid w:val="009051D2"/>
    <w:rsid w:val="00910560"/>
    <w:rsid w:val="0091131B"/>
    <w:rsid w:val="00931D03"/>
    <w:rsid w:val="00936411"/>
    <w:rsid w:val="009374DF"/>
    <w:rsid w:val="00955DFE"/>
    <w:rsid w:val="009629FD"/>
    <w:rsid w:val="00963BF6"/>
    <w:rsid w:val="00967290"/>
    <w:rsid w:val="00983D15"/>
    <w:rsid w:val="009869AF"/>
    <w:rsid w:val="009A0E2B"/>
    <w:rsid w:val="009B095C"/>
    <w:rsid w:val="009C1BE1"/>
    <w:rsid w:val="009C78B6"/>
    <w:rsid w:val="009D2493"/>
    <w:rsid w:val="009E673C"/>
    <w:rsid w:val="00A07BE2"/>
    <w:rsid w:val="00A12AC2"/>
    <w:rsid w:val="00A14AD4"/>
    <w:rsid w:val="00A32B52"/>
    <w:rsid w:val="00A4005F"/>
    <w:rsid w:val="00A507C0"/>
    <w:rsid w:val="00A64FE5"/>
    <w:rsid w:val="00A658B0"/>
    <w:rsid w:val="00A8771E"/>
    <w:rsid w:val="00A916CF"/>
    <w:rsid w:val="00AA0197"/>
    <w:rsid w:val="00AC55F4"/>
    <w:rsid w:val="00AC7AD5"/>
    <w:rsid w:val="00AF136D"/>
    <w:rsid w:val="00B00DB4"/>
    <w:rsid w:val="00B12E49"/>
    <w:rsid w:val="00B14D88"/>
    <w:rsid w:val="00B15937"/>
    <w:rsid w:val="00B3719F"/>
    <w:rsid w:val="00B37313"/>
    <w:rsid w:val="00B432A5"/>
    <w:rsid w:val="00B53EAA"/>
    <w:rsid w:val="00B575F8"/>
    <w:rsid w:val="00B63004"/>
    <w:rsid w:val="00B70AB6"/>
    <w:rsid w:val="00B75190"/>
    <w:rsid w:val="00BC3C72"/>
    <w:rsid w:val="00BD078A"/>
    <w:rsid w:val="00BF3DE7"/>
    <w:rsid w:val="00BF55FF"/>
    <w:rsid w:val="00C002D5"/>
    <w:rsid w:val="00C05A91"/>
    <w:rsid w:val="00C06ACF"/>
    <w:rsid w:val="00C10DA3"/>
    <w:rsid w:val="00C15304"/>
    <w:rsid w:val="00C33C87"/>
    <w:rsid w:val="00C9530E"/>
    <w:rsid w:val="00C9645B"/>
    <w:rsid w:val="00CA1007"/>
    <w:rsid w:val="00CA64AF"/>
    <w:rsid w:val="00CB3310"/>
    <w:rsid w:val="00CD0EE6"/>
    <w:rsid w:val="00CD494B"/>
    <w:rsid w:val="00CD4D00"/>
    <w:rsid w:val="00CE011D"/>
    <w:rsid w:val="00CE2207"/>
    <w:rsid w:val="00CF5847"/>
    <w:rsid w:val="00CF607E"/>
    <w:rsid w:val="00D06047"/>
    <w:rsid w:val="00D138C4"/>
    <w:rsid w:val="00D47469"/>
    <w:rsid w:val="00DC56BB"/>
    <w:rsid w:val="00DE2AAB"/>
    <w:rsid w:val="00E0087A"/>
    <w:rsid w:val="00E17149"/>
    <w:rsid w:val="00E23541"/>
    <w:rsid w:val="00E30B39"/>
    <w:rsid w:val="00E34FDD"/>
    <w:rsid w:val="00E35509"/>
    <w:rsid w:val="00E538B5"/>
    <w:rsid w:val="00E54C2C"/>
    <w:rsid w:val="00E616C1"/>
    <w:rsid w:val="00E62CBD"/>
    <w:rsid w:val="00E65E5C"/>
    <w:rsid w:val="00EA2414"/>
    <w:rsid w:val="00EC0122"/>
    <w:rsid w:val="00EC3E92"/>
    <w:rsid w:val="00ED683A"/>
    <w:rsid w:val="00EE6DEB"/>
    <w:rsid w:val="00EF45AA"/>
    <w:rsid w:val="00EF7225"/>
    <w:rsid w:val="00F000CB"/>
    <w:rsid w:val="00F20E66"/>
    <w:rsid w:val="00F24E76"/>
    <w:rsid w:val="00F36E19"/>
    <w:rsid w:val="00F40D0D"/>
    <w:rsid w:val="00F66568"/>
    <w:rsid w:val="00F973B0"/>
    <w:rsid w:val="00FB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C46B"/>
  <w15:chartTrackingRefBased/>
  <w15:docId w15:val="{CE6181E6-9007-4789-951C-C73CC2E4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3C"/>
    <w:rPr>
      <w:color w:val="0563C1" w:themeColor="hyperlink"/>
      <w:u w:val="single"/>
    </w:rPr>
  </w:style>
  <w:style w:type="character" w:styleId="UnresolvedMention">
    <w:name w:val="Unresolved Mention"/>
    <w:basedOn w:val="DefaultParagraphFont"/>
    <w:uiPriority w:val="99"/>
    <w:semiHidden/>
    <w:unhideWhenUsed/>
    <w:rsid w:val="0014423C"/>
    <w:rPr>
      <w:color w:val="605E5C"/>
      <w:shd w:val="clear" w:color="auto" w:fill="E1DFDD"/>
    </w:rPr>
  </w:style>
  <w:style w:type="table" w:styleId="TableGrid">
    <w:name w:val="Table Grid"/>
    <w:basedOn w:val="TableNormal"/>
    <w:uiPriority w:val="39"/>
    <w:rsid w:val="0014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2EE3"/>
    <w:pPr>
      <w:ind w:left="720"/>
      <w:contextualSpacing/>
    </w:pPr>
  </w:style>
  <w:style w:type="paragraph" w:styleId="EndnoteText">
    <w:name w:val="endnote text"/>
    <w:basedOn w:val="Normal"/>
    <w:link w:val="EndnoteTextChar"/>
    <w:uiPriority w:val="99"/>
    <w:semiHidden/>
    <w:unhideWhenUsed/>
    <w:rsid w:val="00720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5B3"/>
    <w:rPr>
      <w:sz w:val="20"/>
      <w:szCs w:val="20"/>
    </w:rPr>
  </w:style>
  <w:style w:type="character" w:styleId="EndnoteReference">
    <w:name w:val="endnote reference"/>
    <w:basedOn w:val="DefaultParagraphFont"/>
    <w:uiPriority w:val="99"/>
    <w:semiHidden/>
    <w:unhideWhenUsed/>
    <w:rsid w:val="007205B3"/>
    <w:rPr>
      <w:vertAlign w:val="superscript"/>
    </w:rPr>
  </w:style>
  <w:style w:type="paragraph" w:styleId="FootnoteText">
    <w:name w:val="footnote text"/>
    <w:basedOn w:val="Normal"/>
    <w:link w:val="FootnoteTextChar"/>
    <w:uiPriority w:val="99"/>
    <w:semiHidden/>
    <w:unhideWhenUsed/>
    <w:rsid w:val="00087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26A"/>
    <w:rPr>
      <w:sz w:val="20"/>
      <w:szCs w:val="20"/>
    </w:rPr>
  </w:style>
  <w:style w:type="character" w:styleId="FootnoteReference">
    <w:name w:val="footnote reference"/>
    <w:basedOn w:val="DefaultParagraphFont"/>
    <w:uiPriority w:val="99"/>
    <w:semiHidden/>
    <w:unhideWhenUsed/>
    <w:rsid w:val="0008726A"/>
    <w:rPr>
      <w:vertAlign w:val="superscript"/>
    </w:rPr>
  </w:style>
  <w:style w:type="character" w:styleId="FollowedHyperlink">
    <w:name w:val="FollowedHyperlink"/>
    <w:basedOn w:val="DefaultParagraphFont"/>
    <w:uiPriority w:val="99"/>
    <w:semiHidden/>
    <w:unhideWhenUsed/>
    <w:rsid w:val="009D2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9140">
      <w:bodyDiv w:val="1"/>
      <w:marLeft w:val="0"/>
      <w:marRight w:val="0"/>
      <w:marTop w:val="0"/>
      <w:marBottom w:val="0"/>
      <w:divBdr>
        <w:top w:val="none" w:sz="0" w:space="0" w:color="auto"/>
        <w:left w:val="none" w:sz="0" w:space="0" w:color="auto"/>
        <w:bottom w:val="none" w:sz="0" w:space="0" w:color="auto"/>
        <w:right w:val="none" w:sz="0" w:space="0" w:color="auto"/>
      </w:divBdr>
    </w:div>
    <w:div w:id="668755068">
      <w:bodyDiv w:val="1"/>
      <w:marLeft w:val="0"/>
      <w:marRight w:val="0"/>
      <w:marTop w:val="0"/>
      <w:marBottom w:val="0"/>
      <w:divBdr>
        <w:top w:val="none" w:sz="0" w:space="0" w:color="auto"/>
        <w:left w:val="none" w:sz="0" w:space="0" w:color="auto"/>
        <w:bottom w:val="none" w:sz="0" w:space="0" w:color="auto"/>
        <w:right w:val="none" w:sz="0" w:space="0" w:color="auto"/>
      </w:divBdr>
    </w:div>
    <w:div w:id="1034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healthinfo.org/topics/rural-health-clinics" TargetMode="External"/><Relationship Id="rId18" Type="http://schemas.openxmlformats.org/officeDocument/2006/relationships/hyperlink" Target="https://prapare.org/" TargetMode="External"/><Relationship Id="rId26" Type="http://schemas.openxmlformats.org/officeDocument/2006/relationships/hyperlink" Target="https://www.hca.wa.gov/assets/program/advancing-cie.pdf" TargetMode="External"/><Relationship Id="rId3" Type="http://schemas.openxmlformats.org/officeDocument/2006/relationships/customXml" Target="../customXml/item3.xml"/><Relationship Id="rId21" Type="http://schemas.openxmlformats.org/officeDocument/2006/relationships/hyperlink" Target="https://integrationacademy.ahrq.gov/products/playbooks/behavioral-health-and-primary-care/implementing-plan/develop-shared-care-plan" TargetMode="External"/><Relationship Id="rId7" Type="http://schemas.openxmlformats.org/officeDocument/2006/relationships/settings" Target="settings.xml"/><Relationship Id="rId12" Type="http://schemas.openxmlformats.org/officeDocument/2006/relationships/hyperlink" Target="https://www.ruralhealthinfo.org/topics/critical-access-hospitals" TargetMode="External"/><Relationship Id="rId17" Type="http://schemas.openxmlformats.org/officeDocument/2006/relationships/hyperlink" Target="https://healthleadsusa.org/resources/the-health-leads-screening-toolkit/" TargetMode="External"/><Relationship Id="rId25" Type="http://schemas.openxmlformats.org/officeDocument/2006/relationships/hyperlink" Target="https://www.healthit.gov/topic/health-it-and-health-information-exchange-basics/what-hie" TargetMode="External"/><Relationship Id="rId2" Type="http://schemas.openxmlformats.org/officeDocument/2006/relationships/customXml" Target="../customXml/item2.xml"/><Relationship Id="rId16" Type="http://schemas.openxmlformats.org/officeDocument/2006/relationships/hyperlink" Target="https://static1.squarespace.com/static/59c005cd8a02c7dae8cd5e80/t/5ca23ed24785d3b98ad60980/1554136809111/2019+NC+Lunch+and+Learn+DLA-20+Presentation+%28002%29.pdf" TargetMode="External"/><Relationship Id="rId20" Type="http://schemas.openxmlformats.org/officeDocument/2006/relationships/hyperlink" Target="https://aims.uw.edu/sites/default/files/Billing%20Scenario%20Only%20Color.pdf" TargetMode="External"/><Relationship Id="rId29" Type="http://schemas.openxmlformats.org/officeDocument/2006/relationships/hyperlink" Target="https://app.leg.wa.gov/rcw/default.aspx?cite=71.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nationalcouncil.org/wp-content/uploads/2020/08/GHI-Framework-Issue-Brief_FINALFORPUBLICATION_7.24.20.pdf?daf=375ateTbd56" TargetMode="External"/><Relationship Id="rId24" Type="http://schemas.openxmlformats.org/officeDocument/2006/relationships/hyperlink" Target="https://www.healthit.gov/faq/what-diseaseimmunization-registr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novation.cms.gov/files/worksheets/ahcm-screeningtool.pdf" TargetMode="External"/><Relationship Id="rId23" Type="http://schemas.openxmlformats.org/officeDocument/2006/relationships/hyperlink" Target="https://innovation.cms.gov/files/x/tcpi-san-pp-loop.pdf" TargetMode="External"/><Relationship Id="rId28" Type="http://schemas.openxmlformats.org/officeDocument/2006/relationships/hyperlink" Target="https://app.leg.wa.gov/rcw/default.aspx?cite=70.41" TargetMode="External"/><Relationship Id="rId10" Type="http://schemas.openxmlformats.org/officeDocument/2006/relationships/endnotes" Target="endnotes.xml"/><Relationship Id="rId19" Type="http://schemas.openxmlformats.org/officeDocument/2006/relationships/hyperlink" Target="https://www-alpha.kpwashingtonresearch.org/screening-tools/well-r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a.wa.gov/about-hca/health-equity" TargetMode="External"/><Relationship Id="rId22" Type="http://schemas.openxmlformats.org/officeDocument/2006/relationships/hyperlink" Target="https://digital.ahrq.gov/ahrq-funded-projects/use-electronic-referral-system-improve-outpatient-primary-care-specialty-care" TargetMode="External"/><Relationship Id="rId27" Type="http://schemas.openxmlformats.org/officeDocument/2006/relationships/hyperlink" Target="https://apps.leg.wa.gov/WAC/default.aspx?cite=246-320" TargetMode="External"/><Relationship Id="rId30" Type="http://schemas.openxmlformats.org/officeDocument/2006/relationships/hyperlink" Target="https://apps.leg.wa.gov/WAC/default.aspx?cite=246-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D0CA0AC156445950C5F6B39A951B7" ma:contentTypeVersion="12" ma:contentTypeDescription="Create a new document." ma:contentTypeScope="" ma:versionID="4eb11b9d1bb939b31fafe40e75555fed">
  <xsd:schema xmlns:xsd="http://www.w3.org/2001/XMLSchema" xmlns:xs="http://www.w3.org/2001/XMLSchema" xmlns:p="http://schemas.microsoft.com/office/2006/metadata/properties" xmlns:ns2="3faf935a-11f0-45dd-b20a-50b85c899c3e" xmlns:ns3="f8945641-0986-4f2c-b8ef-43dd5aa38a9b" targetNamespace="http://schemas.microsoft.com/office/2006/metadata/properties" ma:root="true" ma:fieldsID="7735133e5d15a301bcd217f501f585ee" ns2:_="" ns3:_="">
    <xsd:import namespace="3faf935a-11f0-45dd-b20a-50b85c899c3e"/>
    <xsd:import namespace="f8945641-0986-4f2c-b8ef-43dd5aa38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f935a-11f0-45dd-b20a-50b85c899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45641-0986-4f2c-b8ef-43dd5aa38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D6894-6FE7-41CC-9CCD-4368D644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f935a-11f0-45dd-b20a-50b85c899c3e"/>
    <ds:schemaRef ds:uri="f8945641-0986-4f2c-b8ef-43dd5aa38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7EAB3-CC62-477D-B52C-C95EC1976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BED1D4-84EE-417A-AF9B-27F2D2219408}">
  <ds:schemaRefs>
    <ds:schemaRef ds:uri="http://schemas.openxmlformats.org/officeDocument/2006/bibliography"/>
  </ds:schemaRefs>
</ds:datastoreItem>
</file>

<file path=customXml/itemProps4.xml><?xml version="1.0" encoding="utf-8"?>
<ds:datastoreItem xmlns:ds="http://schemas.openxmlformats.org/officeDocument/2006/customXml" ds:itemID="{4856F119-98E0-4F2F-A9F5-4B5AB7955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Tavish Donahue</dc:creator>
  <cp:keywords/>
  <dc:description/>
  <cp:lastModifiedBy>Tavish Donahue</cp:lastModifiedBy>
  <cp:revision>5</cp:revision>
  <dcterms:created xsi:type="dcterms:W3CDTF">2022-04-11T20:57:00Z</dcterms:created>
  <dcterms:modified xsi:type="dcterms:W3CDTF">2022-06-16T17:03:00Z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0x0101005C2D0CA0AC156445950C5F6B39A951B7</vt:lpwstr>
  </property>
</Properties>
</file>